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_GBK" w:eastAsia="方正小标宋_GBK"/>
          <w:color w:val="FF0000"/>
          <w:spacing w:val="-20"/>
          <w:w w:val="60"/>
          <w:kern w:val="22"/>
          <w:sz w:val="11"/>
          <w:szCs w:val="11"/>
        </w:rPr>
      </w:pPr>
      <w:r>
        <w:rPr>
          <w:rFonts w:hint="eastAsia" w:ascii="方正小标宋_GBK" w:eastAsia="方正小标宋_GBK" w:cs="方正小标宋_GBK"/>
          <w:color w:val="FF0000"/>
          <w:spacing w:val="-20"/>
          <w:w w:val="60"/>
          <w:kern w:val="22"/>
          <w:sz w:val="154"/>
          <w:szCs w:val="154"/>
        </w:rPr>
        <w:t>青岛市科学技术局文件</w:t>
      </w:r>
    </w:p>
    <w:p>
      <w:pPr>
        <w:spacing w:line="500" w:lineRule="exact"/>
        <w:jc w:val="center"/>
        <w:rPr>
          <w:rFonts w:ascii="仿宋_GB2312" w:eastAsia="仿宋_GB2312"/>
          <w:b/>
          <w:bCs/>
          <w:sz w:val="32"/>
          <w:szCs w:val="32"/>
        </w:rPr>
      </w:pPr>
      <w:r>
        <w:rPr>
          <w:rFonts w:hint="eastAsia" w:ascii="仿宋_GB2312" w:eastAsia="仿宋_GB2312" w:cs="仿宋_GB2312"/>
          <w:sz w:val="32"/>
          <w:szCs w:val="32"/>
        </w:rPr>
        <w:t>青科资字〔</w:t>
      </w:r>
      <w:r>
        <w:rPr>
          <w:rFonts w:ascii="仿宋_GB2312" w:eastAsia="仿宋_GB2312" w:cs="仿宋_GB2312"/>
          <w:sz w:val="32"/>
          <w:szCs w:val="32"/>
        </w:rPr>
        <w:t>202</w:t>
      </w:r>
      <w:r>
        <w:rPr>
          <w:rFonts w:hint="eastAsia" w:ascii="仿宋_GB2312" w:eastAsia="仿宋_GB2312" w:cs="仿宋_GB2312"/>
          <w:sz w:val="32"/>
          <w:szCs w:val="32"/>
        </w:rPr>
        <w:t>4〕14号</w:t>
      </w:r>
    </w:p>
    <w:p>
      <w:pPr>
        <w:tabs>
          <w:tab w:val="left" w:pos="360"/>
        </w:tabs>
        <w:spacing w:line="240" w:lineRule="atLeast"/>
        <w:jc w:val="center"/>
        <w:rPr>
          <w:rFonts w:ascii="仿宋_GB2312" w:hAnsi="宋体" w:eastAsia="仿宋_GB2312" w:cs="仿宋_GB2312"/>
          <w:color w:val="FF0000"/>
          <w:sz w:val="32"/>
          <w:szCs w:val="32"/>
        </w:rPr>
      </w:pPr>
      <w:r>
        <w:rPr>
          <w:rFonts w:hint="eastAsia" w:ascii="仿宋_GB2312" w:hAnsi="宋体" w:eastAsia="仿宋_GB2312" w:cs="仿宋_GB2312"/>
          <w:color w:val="FF0000"/>
          <w:sz w:val="32"/>
          <w:szCs w:val="32"/>
        </w:rPr>
        <w:t>━━━━━━━━━━━━━━━━━━━━━━━━━━━</w:t>
      </w:r>
    </w:p>
    <w:p>
      <w:pPr>
        <w:widowControl w:val="0"/>
        <w:adjustRightInd/>
        <w:snapToGrid/>
        <w:spacing w:after="0" w:line="580" w:lineRule="exact"/>
        <w:jc w:val="center"/>
        <w:rPr>
          <w:rFonts w:ascii="方正小标宋_GBK" w:hAnsi="方正小标宋_GBK" w:eastAsia="方正小标宋_GBK" w:cs="方正小标宋_GBK"/>
          <w:kern w:val="2"/>
          <w:sz w:val="44"/>
          <w:szCs w:val="44"/>
        </w:rPr>
      </w:pPr>
    </w:p>
    <w:p>
      <w:pPr>
        <w:widowControl w:val="0"/>
        <w:adjustRightInd/>
        <w:snapToGrid/>
        <w:spacing w:after="0" w:line="58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关于组织申报2025年度青岛市科技惠民</w:t>
      </w:r>
    </w:p>
    <w:p>
      <w:pPr>
        <w:widowControl w:val="0"/>
        <w:adjustRightInd/>
        <w:snapToGrid/>
        <w:spacing w:after="0" w:line="580" w:lineRule="exact"/>
        <w:jc w:val="center"/>
        <w:rPr>
          <w:rFonts w:ascii="微软雅黑" w:hAnsi="微软雅黑" w:cs="微软雅黑"/>
          <w:kern w:val="2"/>
          <w:sz w:val="44"/>
          <w:szCs w:val="44"/>
        </w:rPr>
      </w:pPr>
      <w:r>
        <w:rPr>
          <w:rFonts w:hint="eastAsia" w:ascii="方正小标宋_GBK" w:hAnsi="方正小标宋_GBK" w:eastAsia="方正小标宋_GBK" w:cs="方正小标宋_GBK"/>
          <w:kern w:val="2"/>
          <w:sz w:val="44"/>
          <w:szCs w:val="44"/>
        </w:rPr>
        <w:t>示范专项的通知</w:t>
      </w:r>
    </w:p>
    <w:p>
      <w:pPr>
        <w:widowControl w:val="0"/>
        <w:adjustRightInd/>
        <w:snapToGrid/>
        <w:spacing w:after="0" w:line="580" w:lineRule="exact"/>
        <w:jc w:val="both"/>
        <w:rPr>
          <w:rFonts w:ascii="楷体_GB2312" w:hAnsi="Calibri" w:eastAsia="楷体_GB2312" w:cs="方正小标宋_GBK"/>
          <w:kern w:val="2"/>
          <w:sz w:val="32"/>
          <w:szCs w:val="32"/>
        </w:rPr>
      </w:pPr>
    </w:p>
    <w:p>
      <w:pPr>
        <w:widowControl w:val="0"/>
        <w:adjustRightInd/>
        <w:snapToGrid/>
        <w:spacing w:after="0" w:line="580" w:lineRule="exact"/>
        <w:jc w:val="both"/>
        <w:rPr>
          <w:rFonts w:ascii="仿宋_GB2312" w:hAnsi="宋体" w:eastAsia="仿宋_GB2312" w:cs="Times New Roman"/>
          <w:kern w:val="2"/>
          <w:sz w:val="32"/>
          <w:szCs w:val="32"/>
        </w:rPr>
      </w:pPr>
      <w:r>
        <w:rPr>
          <w:rFonts w:hint="eastAsia" w:ascii="仿宋_GB2312" w:hAnsi="宋体" w:eastAsia="仿宋_GB2312" w:cs="仿宋_GB2312"/>
          <w:kern w:val="2"/>
          <w:sz w:val="32"/>
          <w:szCs w:val="32"/>
        </w:rPr>
        <w:t>各区（市、功能区）、西海岸新区科技主管部门，各有关部门和单位：</w:t>
      </w:r>
    </w:p>
    <w:p>
      <w:pPr>
        <w:widowControl w:val="0"/>
        <w:adjustRightInd/>
        <w:snapToGrid/>
        <w:spacing w:after="0" w:line="580" w:lineRule="exact"/>
        <w:ind w:firstLine="645"/>
        <w:jc w:val="both"/>
        <w:rPr>
          <w:rFonts w:ascii="仿宋_GB2312" w:hAnsi="Calibri" w:eastAsia="仿宋_GB2312" w:cs="Times New Roman"/>
          <w:kern w:val="2"/>
          <w:sz w:val="32"/>
          <w:szCs w:val="32"/>
        </w:rPr>
      </w:pPr>
      <w:r>
        <w:rPr>
          <w:rFonts w:hint="eastAsia" w:ascii="仿宋_GB2312" w:hAnsi="Calibri" w:eastAsia="仿宋_GB2312" w:cs="仿宋_GB2312"/>
          <w:kern w:val="2"/>
          <w:sz w:val="32"/>
          <w:szCs w:val="32"/>
        </w:rPr>
        <w:t>根据《青岛市科技计划项目管理办法》（青科规〔</w:t>
      </w:r>
      <w:r>
        <w:rPr>
          <w:rFonts w:ascii="仿宋_GB2312" w:hAnsi="Calibri" w:eastAsia="仿宋_GB2312" w:cs="仿宋_GB2312"/>
          <w:kern w:val="2"/>
          <w:sz w:val="32"/>
          <w:szCs w:val="32"/>
        </w:rPr>
        <w:t>20</w:t>
      </w:r>
      <w:r>
        <w:rPr>
          <w:rFonts w:hint="eastAsia" w:ascii="仿宋_GB2312" w:hAnsi="Calibri" w:eastAsia="仿宋_GB2312" w:cs="仿宋_GB2312"/>
          <w:kern w:val="2"/>
          <w:sz w:val="32"/>
          <w:szCs w:val="32"/>
        </w:rPr>
        <w:t>21〕16号）、《青岛市科技惠民示范专项管理暂行办法》（青科规〔2021〕6号）要求和我市科技创新工作需要</w:t>
      </w:r>
      <w:r>
        <w:rPr>
          <w:rFonts w:hint="eastAsia" w:ascii="仿宋_GB2312" w:hAnsi="仿宋" w:eastAsia="仿宋_GB2312" w:cs="仿宋_GB2312"/>
          <w:kern w:val="2"/>
          <w:sz w:val="32"/>
          <w:szCs w:val="32"/>
        </w:rPr>
        <w:t>，</w:t>
      </w:r>
      <w:r>
        <w:rPr>
          <w:rFonts w:ascii="仿宋_GB2312" w:hAnsi="Calibri" w:eastAsia="仿宋_GB2312" w:cs="Calibri"/>
          <w:kern w:val="2"/>
          <w:sz w:val="32"/>
          <w:szCs w:val="32"/>
        </w:rPr>
        <w:t>在广泛征集需求</w:t>
      </w:r>
      <w:r>
        <w:rPr>
          <w:rFonts w:hint="eastAsia" w:ascii="仿宋_GB2312" w:hAnsi="Calibri" w:eastAsia="仿宋_GB2312" w:cs="Calibri"/>
          <w:kern w:val="2"/>
          <w:sz w:val="32"/>
          <w:szCs w:val="32"/>
        </w:rPr>
        <w:t>和专家论证</w:t>
      </w:r>
      <w:r>
        <w:rPr>
          <w:rFonts w:ascii="仿宋_GB2312" w:hAnsi="Calibri" w:eastAsia="仿宋_GB2312" w:cs="Calibri"/>
          <w:kern w:val="2"/>
          <w:sz w:val="32"/>
          <w:szCs w:val="32"/>
        </w:rPr>
        <w:t>基础上，</w:t>
      </w:r>
      <w:r>
        <w:rPr>
          <w:rFonts w:hint="eastAsia" w:ascii="仿宋_GB2312" w:hAnsi="Calibri" w:eastAsia="仿宋_GB2312" w:cs="仿宋_GB2312"/>
          <w:kern w:val="2"/>
          <w:sz w:val="32"/>
          <w:szCs w:val="32"/>
        </w:rPr>
        <w:t>经研究决定，现启动2025年度青岛市科技惠民示范专项项目申报工作。有关事项通知如下：</w:t>
      </w:r>
    </w:p>
    <w:p>
      <w:pPr>
        <w:widowControl w:val="0"/>
        <w:adjustRightInd/>
        <w:snapToGrid/>
        <w:spacing w:after="0" w:line="580" w:lineRule="exact"/>
        <w:ind w:firstLine="645"/>
        <w:jc w:val="both"/>
        <w:outlineLvl w:val="0"/>
        <w:rPr>
          <w:rFonts w:ascii="黑体" w:hAnsi="黑体" w:eastAsia="黑体" w:cs="黑体"/>
          <w:color w:val="000000"/>
          <w:kern w:val="2"/>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4082" w:right="1474" w:bottom="1984" w:left="1587" w:header="851" w:footer="992" w:gutter="0"/>
          <w:pgNumType w:fmt="numberInDash"/>
          <w:cols w:space="0" w:num="1"/>
          <w:docGrid w:type="lines" w:linePitch="312" w:charSpace="0"/>
        </w:sectPr>
      </w:pPr>
    </w:p>
    <w:p>
      <w:pPr>
        <w:widowControl w:val="0"/>
        <w:adjustRightInd/>
        <w:snapToGrid/>
        <w:spacing w:after="0" w:line="580" w:lineRule="exact"/>
        <w:ind w:firstLine="645"/>
        <w:jc w:val="both"/>
        <w:outlineLvl w:val="0"/>
        <w:rPr>
          <w:rFonts w:ascii="黑体" w:hAnsi="黑体" w:eastAsia="黑体" w:cs="黑体"/>
          <w:color w:val="000000"/>
          <w:kern w:val="2"/>
          <w:sz w:val="32"/>
          <w:szCs w:val="32"/>
        </w:rPr>
      </w:pPr>
      <w:r>
        <w:rPr>
          <w:rFonts w:hint="eastAsia" w:ascii="黑体" w:hAnsi="黑体" w:eastAsia="黑体" w:cs="黑体"/>
          <w:color w:val="000000"/>
          <w:kern w:val="2"/>
          <w:sz w:val="32"/>
          <w:szCs w:val="32"/>
        </w:rPr>
        <w:t>一、申报方向和要求</w:t>
      </w:r>
    </w:p>
    <w:p>
      <w:pPr>
        <w:widowControl w:val="0"/>
        <w:adjustRightInd/>
        <w:snapToGrid/>
        <w:spacing w:after="0" w:line="580" w:lineRule="exact"/>
        <w:ind w:firstLine="646"/>
        <w:jc w:val="both"/>
        <w:outlineLvl w:val="1"/>
        <w:rPr>
          <w:rFonts w:ascii="楷体_GB2312" w:hAnsi="黑体" w:eastAsia="楷体_GB2312" w:cs="楷体_GB2312"/>
          <w:color w:val="000000"/>
          <w:kern w:val="2"/>
          <w:sz w:val="32"/>
          <w:szCs w:val="32"/>
        </w:rPr>
      </w:pPr>
      <w:r>
        <w:rPr>
          <w:rFonts w:hint="eastAsia" w:ascii="楷体_GB2312" w:hAnsi="黑体" w:eastAsia="楷体_GB2312" w:cs="楷体_GB2312"/>
          <w:color w:val="000000"/>
          <w:kern w:val="2"/>
          <w:sz w:val="32"/>
          <w:szCs w:val="32"/>
        </w:rPr>
        <w:t>（一）生命健康领域</w:t>
      </w:r>
    </w:p>
    <w:p>
      <w:pPr>
        <w:widowControl w:val="0"/>
        <w:adjustRightInd/>
        <w:snapToGrid/>
        <w:spacing w:after="0" w:line="580" w:lineRule="exact"/>
        <w:ind w:firstLine="646"/>
        <w:jc w:val="both"/>
        <w:outlineLvl w:val="2"/>
        <w:rPr>
          <w:rFonts w:ascii="仿宋_GB2312" w:hAnsi="宋体" w:eastAsia="仿宋_GB2312" w:cs="仿宋_GB2312"/>
          <w:b/>
          <w:kern w:val="2"/>
          <w:sz w:val="32"/>
          <w:szCs w:val="32"/>
        </w:rPr>
      </w:pPr>
      <w:r>
        <w:rPr>
          <w:rFonts w:ascii="仿宋_GB2312" w:hAnsi="楷体" w:eastAsia="仿宋_GB2312" w:cs="仿宋_GB2312"/>
          <w:b/>
          <w:kern w:val="2"/>
          <w:sz w:val="32"/>
          <w:szCs w:val="32"/>
        </w:rPr>
        <w:t>1</w:t>
      </w:r>
      <w:r>
        <w:rPr>
          <w:rFonts w:ascii="仿宋_GB2312" w:hAnsi="宋体" w:eastAsia="仿宋_GB2312" w:cs="仿宋_GB2312"/>
          <w:b/>
          <w:kern w:val="2"/>
          <w:sz w:val="32"/>
          <w:szCs w:val="32"/>
        </w:rPr>
        <w:t>.</w:t>
      </w:r>
      <w:r>
        <w:rPr>
          <w:rFonts w:hint="eastAsia" w:ascii="仿宋_GB2312" w:hAnsi="宋体" w:eastAsia="仿宋_GB2312" w:cs="仿宋_GB2312"/>
          <w:b/>
          <w:kern w:val="2"/>
          <w:sz w:val="32"/>
          <w:szCs w:val="32"/>
        </w:rPr>
        <w:t>申报方向</w:t>
      </w:r>
    </w:p>
    <w:p>
      <w:pPr>
        <w:widowControl w:val="0"/>
        <w:spacing w:after="0" w:line="580" w:lineRule="exact"/>
        <w:ind w:firstLine="630" w:firstLineChars="196"/>
        <w:jc w:val="both"/>
        <w:rPr>
          <w:rFonts w:ascii="仿宋_GB2312" w:hAnsi="Calibri" w:eastAsia="仿宋_GB2312" w:cs="仿宋_GB2312"/>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1</w:t>
      </w:r>
      <w:r>
        <w:rPr>
          <w:rFonts w:hint="eastAsia" w:ascii="仿宋_GB2312" w:hAnsi="Calibri" w:eastAsia="仿宋_GB2312" w:cs="仿宋_GB2312"/>
          <w:b/>
          <w:kern w:val="2"/>
          <w:sz w:val="32"/>
          <w:szCs w:val="32"/>
        </w:rPr>
        <w:t>：肺移植外科关键技术改进及肺缺血再灌注损伤防治策略研究与应用</w:t>
      </w:r>
    </w:p>
    <w:p>
      <w:pPr>
        <w:widowControl w:val="0"/>
        <w:spacing w:after="0" w:line="580" w:lineRule="exact"/>
        <w:ind w:firstLine="630" w:firstLineChars="196"/>
        <w:jc w:val="both"/>
        <w:rPr>
          <w:rFonts w:ascii="仿宋_GB2312" w:hAnsi="Calibri" w:eastAsia="仿宋_GB2312" w:cs="仿宋_GB2312"/>
          <w:b/>
          <w:bCs/>
          <w:kern w:val="2"/>
          <w:sz w:val="32"/>
          <w:szCs w:val="32"/>
        </w:rPr>
      </w:pPr>
      <w:r>
        <w:rPr>
          <w:rFonts w:hint="eastAsia" w:ascii="仿宋_GB2312" w:hAnsi="Calibri" w:eastAsia="仿宋_GB2312" w:cs="仿宋_GB2312"/>
          <w:b/>
          <w:bCs/>
          <w:kern w:val="2"/>
          <w:sz w:val="32"/>
          <w:szCs w:val="32"/>
        </w:rPr>
        <w:t>研究内容：</w:t>
      </w:r>
      <w:r>
        <w:rPr>
          <w:rFonts w:hint="eastAsia" w:ascii="仿宋_GB2312" w:hAnsi="Calibri" w:eastAsia="仿宋_GB2312" w:cs="仿宋_GB2312"/>
          <w:bCs/>
          <w:kern w:val="2"/>
          <w:sz w:val="32"/>
          <w:szCs w:val="32"/>
        </w:rPr>
        <w:t>围绕肺移植外科手术相关并发症、术后原发性移植物功能障碍等相关问题，改进肺移植外科手术技术，建立肺脏移植随访体系和管理系统，构建肺缺血再灌注损伤动物模型，揭示肺缺血再灌注损伤发病机理并筛选关键药物靶点。同时，以临床转化为导向，设计开发体外肺灌注系统以探索改进供肺保存条件，降低肺移植术后慢性移植物损伤的危险因素并制定预防策略，提高肺移植后的长期生存率。</w:t>
      </w:r>
    </w:p>
    <w:p>
      <w:pPr>
        <w:widowControl w:val="0"/>
        <w:spacing w:after="0" w:line="580" w:lineRule="exact"/>
        <w:ind w:firstLine="630" w:firstLineChars="196"/>
        <w:jc w:val="both"/>
        <w:rPr>
          <w:rFonts w:ascii="仿宋_GB2312" w:hAnsi="Calibri" w:eastAsia="仿宋_GB2312" w:cs="仿宋_GB2312"/>
          <w:b/>
          <w:bCs/>
          <w:kern w:val="2"/>
          <w:sz w:val="32"/>
          <w:szCs w:val="32"/>
        </w:rPr>
      </w:pPr>
      <w:r>
        <w:rPr>
          <w:rFonts w:hint="eastAsia" w:ascii="仿宋_GB2312" w:hAnsi="Calibri" w:eastAsia="仿宋_GB2312" w:cs="仿宋_GB2312"/>
          <w:b/>
          <w:bCs/>
          <w:kern w:val="2"/>
          <w:sz w:val="32"/>
          <w:szCs w:val="32"/>
        </w:rPr>
        <w:t>考核指标：</w:t>
      </w:r>
      <w:r>
        <w:rPr>
          <w:rFonts w:hint="eastAsia" w:ascii="仿宋_GB2312" w:hAnsi="Calibri" w:eastAsia="仿宋_GB2312" w:cs="仿宋_GB2312"/>
          <w:bCs/>
          <w:kern w:val="2"/>
          <w:sz w:val="32"/>
          <w:szCs w:val="32"/>
        </w:rPr>
        <w:t>完成机器人或胸腔镜辅助微创肺移植手术不少于</w:t>
      </w:r>
      <w:r>
        <w:rPr>
          <w:rFonts w:ascii="仿宋_GB2312" w:hAnsi="Calibri" w:eastAsia="仿宋_GB2312" w:cs="仿宋_GB2312"/>
          <w:bCs/>
          <w:kern w:val="2"/>
          <w:sz w:val="32"/>
          <w:szCs w:val="32"/>
        </w:rPr>
        <w:t>15</w:t>
      </w:r>
      <w:r>
        <w:rPr>
          <w:rFonts w:hint="eastAsia" w:ascii="仿宋_GB2312" w:hAnsi="Calibri" w:eastAsia="仿宋_GB2312" w:cs="仿宋_GB2312"/>
          <w:bCs/>
          <w:kern w:val="2"/>
          <w:sz w:val="32"/>
          <w:szCs w:val="32"/>
        </w:rPr>
        <w:t>例，建立肺脏移植外科随访体系和管理系统；构建肺缺血再灌注损伤动物模型不少于1种，建立队列和全基因组信息，揭示肺缺血再灌注损伤发病机制，发现用于肺缺血再灌注损伤诊治预测的生物标志物（或药物治疗靶点）不少于2个；设计开发体外肺灌注系统1个；申请或授权发明专利不少于2项，</w:t>
      </w:r>
      <w:r>
        <w:rPr>
          <w:rFonts w:hint="eastAsia" w:ascii="仿宋_GB2312" w:hAnsi="Calibri" w:eastAsia="仿宋_GB2312" w:cs="仿宋_GB2312"/>
          <w:color w:val="000000"/>
          <w:kern w:val="2"/>
          <w:sz w:val="32"/>
          <w:szCs w:val="32"/>
        </w:rPr>
        <w:t>培养研究生</w:t>
      </w:r>
      <w:r>
        <w:rPr>
          <w:rFonts w:hint="eastAsia" w:ascii="仿宋_GB2312" w:hAnsi="Calibri" w:eastAsia="仿宋_GB2312" w:cs="仿宋_GB2312"/>
          <w:bCs/>
          <w:kern w:val="2"/>
          <w:sz w:val="32"/>
          <w:szCs w:val="32"/>
        </w:rPr>
        <w:t>不少于3名，发表高水平论文不少于3篇。</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spacing w:after="0" w:line="580" w:lineRule="exact"/>
        <w:ind w:firstLine="630" w:firstLineChars="196"/>
        <w:jc w:val="both"/>
        <w:rPr>
          <w:rStyle w:val="9"/>
          <w:rFonts w:ascii="仿宋_GB2312" w:hAnsi="Calibri" w:eastAsia="仿宋_GB2312" w:cs="Calibri"/>
          <w:b/>
          <w:kern w:val="2"/>
          <w:sz w:val="21"/>
          <w:szCs w:val="21"/>
        </w:rPr>
      </w:pPr>
      <w:r>
        <w:rPr>
          <w:rStyle w:val="9"/>
          <w:rFonts w:ascii="仿宋_GB2312" w:eastAsia="仿宋_GB2312" w:cs="Calibri"/>
          <w:b/>
          <w:kern w:val="2"/>
        </w:rPr>
        <w:t>方向</w:t>
      </w:r>
      <w:r>
        <w:rPr>
          <w:rStyle w:val="9"/>
          <w:rFonts w:hint="eastAsia" w:ascii="仿宋_GB2312" w:eastAsia="仿宋_GB2312" w:cs="Calibri"/>
          <w:b/>
          <w:kern w:val="2"/>
        </w:rPr>
        <w:t>2：基于靶向PARP抑制剂抵抗的卵巢癌精准治疗策略研究及其临床应用</w:t>
      </w:r>
    </w:p>
    <w:p>
      <w:pPr>
        <w:widowControl w:val="0"/>
        <w:spacing w:after="0" w:line="580" w:lineRule="exact"/>
        <w:ind w:firstLine="630" w:firstLineChars="196"/>
        <w:jc w:val="both"/>
        <w:rPr>
          <w:rStyle w:val="9"/>
          <w:rFonts w:ascii="仿宋_GB2312" w:hAnsi="Calibri" w:eastAsia="仿宋_GB2312" w:cs="Calibri"/>
          <w:kern w:val="2"/>
          <w:sz w:val="21"/>
          <w:szCs w:val="21"/>
        </w:rPr>
      </w:pPr>
      <w:r>
        <w:rPr>
          <w:rStyle w:val="9"/>
          <w:rFonts w:hint="eastAsia" w:ascii="仿宋_GB2312" w:eastAsia="仿宋_GB2312" w:cs="Calibri"/>
          <w:b/>
          <w:kern w:val="2"/>
        </w:rPr>
        <w:t>研究内容：</w:t>
      </w:r>
      <w:r>
        <w:rPr>
          <w:rStyle w:val="9"/>
          <w:rFonts w:hint="eastAsia" w:ascii="仿宋_GB2312" w:eastAsia="仿宋_GB2312" w:cs="Calibri"/>
          <w:kern w:val="2"/>
        </w:rPr>
        <w:t>聚焦PARP抑制剂治疗抵抗引发的卵巢癌维持治疗效果不佳、获益人群受限、复发率和死亡率居高不下等临床难点，构建药物耐受持久性细胞模型，运用靶向和非靶向代谢组学技术，明确铜离子在卵巢癌PARP抑制剂协同致死和抗肿瘤免疫治疗中的功能和机制，揭示PARP抑制剂抵抗的卵巢癌对嘧啶从头合成的依赖性和选择性脆性，根据嘧啶依赖性定义PARP抑制剂抵抗的卵巢癌亚型，制定卵巢癌新靶点相关性药物与PARP抑制剂协同的选择性治疗策略。通过卵巢癌药物耐药PDX模型，明确协同治疗的实验室疗效，通过临床实验评价临床分类方案和针对性治疗效果，不断优化卵巢癌治疗方案，构建“手术+含铂化疗+亚型分类+依分类维持治疗”的全程管理模式并进行推广应用，进而实现对卵巢癌的规范化治疗以及对PARP抑制剂抵抗卵巢癌的精准治疗。</w:t>
      </w:r>
    </w:p>
    <w:p>
      <w:pPr>
        <w:widowControl w:val="0"/>
        <w:spacing w:after="0" w:line="580" w:lineRule="exact"/>
        <w:ind w:firstLine="630" w:firstLineChars="196"/>
        <w:jc w:val="both"/>
        <w:rPr>
          <w:rStyle w:val="9"/>
          <w:rFonts w:ascii="仿宋_GB2312" w:hAnsi="Calibri" w:eastAsia="仿宋_GB2312" w:cs="Calibri"/>
          <w:kern w:val="2"/>
          <w:sz w:val="21"/>
          <w:szCs w:val="21"/>
        </w:rPr>
      </w:pPr>
      <w:r>
        <w:rPr>
          <w:rStyle w:val="9"/>
          <w:rFonts w:hint="eastAsia" w:ascii="仿宋_GB2312" w:eastAsia="仿宋_GB2312" w:cs="Calibri"/>
          <w:b/>
          <w:kern w:val="2"/>
        </w:rPr>
        <w:t>考核指标：</w:t>
      </w:r>
      <w:r>
        <w:rPr>
          <w:rStyle w:val="9"/>
          <w:rFonts w:hint="eastAsia" w:ascii="仿宋_GB2312" w:eastAsia="仿宋_GB2312" w:cs="Calibri"/>
          <w:kern w:val="2"/>
        </w:rPr>
        <w:t>突破卵巢癌维持治疗药物研发以及卵巢癌规范化精准化治疗模式等核心技术不少于2项，创新PARP抑制剂抵抗卵巢癌亚型分类方法不少于1种；发现卵巢癌靶向治疗中的新靶点不少于2个；评估基于新靶点的PARP抑制剂协同药物不少于2个；在不少于3家医疗机构进行示范应用，应用临床病例数不少于3000例，惠及患者不少于3000人；发表高水平论文不少于2篇；培养团队科研骨干不少于3人；申请或授权发明专利不少于1项。</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ascii="仿宋_GB2312" w:hAnsi="Calibri" w:eastAsia="仿宋_GB2312" w:cs="仿宋_GB2312"/>
          <w:b/>
          <w:color w:val="000000"/>
          <w:kern w:val="2"/>
          <w:sz w:val="32"/>
          <w:szCs w:val="32"/>
        </w:rPr>
        <w:t>方向</w:t>
      </w:r>
      <w:r>
        <w:rPr>
          <w:rFonts w:hint="eastAsia" w:ascii="仿宋_GB2312" w:hAnsi="Calibri" w:eastAsia="仿宋_GB2312" w:cs="仿宋_GB2312"/>
          <w:b/>
          <w:color w:val="000000"/>
          <w:kern w:val="2"/>
          <w:sz w:val="32"/>
          <w:szCs w:val="32"/>
        </w:rPr>
        <w:t>3：基于脂代谢相关关键靶点探索肝癌复发转移的防治策略及应用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富脂型肝癌新亚型伴有显著脂代谢异常和高复发率、高转移性等临床问题，基于关键靶点促进肝癌转移的分子生物学机制，通过代谢组学、蛋白组学筛选以及细胞和动物实验，从代谢角度进一步研究脂代谢异常促进富脂型肝癌转移的调控机制；运用紧束缚计算方法DFTB和计算机分子动力模拟筛选靶向阻断药物，进行体内和体外实验验证，治疗富脂型肝癌术后复发转移；建立肝癌临床病理样本数据库和术后随访管理系统，构建基于关键靶点的信号轴、MR影像特征和病理特征的富脂型肝癌筛查模型，筛选用药有效人群，制定肝癌术后复发的个性化防治策略，降低术后复发率。</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建立不少于500例的肝癌手术切除相关临床数据库和术后随访管理系统，收集不少于</w:t>
      </w:r>
      <w:r>
        <w:rPr>
          <w:rFonts w:ascii="仿宋_GB2312" w:hAnsi="Calibri" w:eastAsia="仿宋_GB2312" w:cs="仿宋_GB2312"/>
          <w:color w:val="000000"/>
          <w:kern w:val="2"/>
          <w:sz w:val="32"/>
          <w:szCs w:val="32"/>
        </w:rPr>
        <w:t>4</w:t>
      </w:r>
      <w:r>
        <w:rPr>
          <w:rFonts w:hint="eastAsia" w:ascii="仿宋_GB2312" w:hAnsi="Calibri" w:eastAsia="仿宋_GB2312" w:cs="仿宋_GB2312"/>
          <w:color w:val="000000"/>
          <w:kern w:val="2"/>
          <w:sz w:val="32"/>
          <w:szCs w:val="32"/>
        </w:rPr>
        <w:t>00例的肝癌组织标本；构建基于关键靶点的信号轴、MR影像特征和病理特征的SBC-HCC的诊断模型，并根据关键结合位点筛选验证不少于2个特异性靶向治疗药物；制定针对富脂型肝癌术后复发的个体化防治策略并应用于临床；申请或授权发明专利不少于1项，发表高水平论文不少于2篇，培养研究生不少于3名。</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拟支持项目1项，支持额度不超过1</w:t>
      </w:r>
      <w:r>
        <w:rPr>
          <w:rStyle w:val="9"/>
          <w:rFonts w:ascii="仿宋_GB2312" w:eastAsia="仿宋_GB2312" w:cs="Calibri"/>
          <w:kern w:val="2"/>
        </w:rPr>
        <w:t>2</w:t>
      </w:r>
      <w:r>
        <w:rPr>
          <w:rStyle w:val="9"/>
          <w:rFonts w:hint="eastAsia" w:ascii="仿宋_GB2312" w:eastAsia="仿宋_GB2312" w:cs="Calibri"/>
          <w:kern w:val="2"/>
        </w:rPr>
        <w:t>0万元。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方向4：基于高灵敏光谱技术的术中甲状旁腺实时检测系统研发及临床应用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甲状腺切除术中的甲状旁腺高灵敏快速识别定位需求，围绕术中复杂光干扰大、探头交叉感染风险高、周围组织和血液影响强、难以适用于腔镜手术等临床应用问题，基于甲状旁腺自体荧光机理，结合高灵敏激光光谱技术，开展新型术中甲状旁腺实时精准检测系统研究，提升术中甲状旁腺快速精准识别及功能完整性保护水平。</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研发基于高灵敏光谱技术的术中甲状旁腺实时检测系统1台（套），术中甲状旁腺识别准确率≥99%；申请或获得医疗器械注册证1项，在10家以上三甲医院进行示范，完成手术病例不少于500例；申请或授权发明专利不少于3项，发表高水平论文不少于3篇，培养研究生不少于3人。</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w:t>
      </w:r>
      <w:r>
        <w:rPr>
          <w:rFonts w:ascii="仿宋_GB2312" w:hAnsi="Calibri" w:eastAsia="仿宋_GB2312" w:cs="仿宋_GB2312"/>
          <w:b/>
          <w:color w:val="000000"/>
          <w:kern w:val="2"/>
          <w:sz w:val="32"/>
          <w:szCs w:val="32"/>
        </w:rPr>
        <w:t>5</w:t>
      </w:r>
      <w:r>
        <w:rPr>
          <w:rFonts w:hint="eastAsia" w:ascii="仿宋_GB2312" w:hAnsi="Calibri" w:eastAsia="仿宋_GB2312" w:cs="仿宋_GB2312"/>
          <w:b/>
          <w:color w:val="000000"/>
          <w:kern w:val="2"/>
          <w:sz w:val="32"/>
          <w:szCs w:val="32"/>
        </w:rPr>
        <w:t>：干细胞诱导心肌修复与再生技术的开发与应用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研发具有临床应用价值的干细胞诱导纳米纤维生物支架，研究静电纺丝与生物3D打印相结合的技术工艺，进行纳米纤维生物支架的制备与筛选。通过体外试验，研究多类干细胞协同在生物材料上的粘附、生长、增殖、分化，对优选生物支架的结构、机械性能（强度、韧性等）以及细胞相容性进行评价；开展优选生物支架的体内试验，在动物模型上探究材料与细胞移植的安全性及有效性；研究细胞和生物支架相结合疗法在心肌组织修复和再生上的应用潜力，开展随机对照临床研究，探索其临床应用的可行性、安全性。</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确定可规模化生产的静电纺丝3D打印生物支架最优工艺方案；开发干细胞诱导心肌修复生物支架产品，完成产品标准化研究，达到临床植入性医疗器械质量标准；获得干细胞诱导和生物支架协同促进心肌组织修复的临床应用模型，应用临床病例不少于50例；申请或授权发明专利不少于2项，发表高水平论文不少于3篇，培养研究生不少于3人。</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6</w:t>
      </w:r>
      <w:r>
        <w:rPr>
          <w:rFonts w:hint="eastAsia" w:ascii="仿宋_GB2312" w:hAnsi="Calibri" w:eastAsia="仿宋_GB2312" w:cs="仿宋_GB2312"/>
          <w:b/>
          <w:kern w:val="2"/>
          <w:sz w:val="32"/>
          <w:szCs w:val="32"/>
        </w:rPr>
        <w:t>：圆锥角膜的发病机制、早期诊断与精准治疗体系的研发及临床应用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圆锥角膜的前沿关键科学问题，通过队列研究，建立圆锥角膜早期诊断及患者随访系统，观察圆锥角膜的临床干预及转归情况；改良传统圆锥角膜交联术式以扩大适应人群，并进一步提升角膜交联手术效果；应用巩膜镜矫正疑难患者，达到良好的视觉质量重建。探索圆锥角膜发生发展的早期致病机制，通过体内外实验明确过敏与揉眼等重要致病因素促进圆锥角膜发展的关键作用及分子机制；进一步筛选靶向性干预药物，验证其辅助治疗圆锥角膜的可行性，推进圆锥角膜的内科精准治疗。</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建立“圆锥角膜患者早期诊断及全周期随访系统”，管理数量不少于1000例；改良圆锥角膜交联手术术式2种，应用临床病例不少于100例；采用巩膜镜矫正疑难圆锥角膜患者，应用病例不少于50例；筛选目标药物不少于1个；发表高水平论文不少于3篇，培养研究生不少于3人，申请或授权发明专利不少于2个，牵头或参与国家/行业标准不少于1个。</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7</w:t>
      </w:r>
      <w:r>
        <w:rPr>
          <w:rFonts w:hint="eastAsia" w:ascii="仿宋_GB2312" w:hAnsi="Calibri" w:eastAsia="仿宋_GB2312" w:cs="仿宋_GB2312"/>
          <w:b/>
          <w:kern w:val="2"/>
          <w:sz w:val="32"/>
          <w:szCs w:val="32"/>
        </w:rPr>
        <w:t>：中药组合物治疗肺癌分子机制及临床应用现代化研究</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研究内容：</w:t>
      </w:r>
      <w:r>
        <w:rPr>
          <w:rFonts w:hint="eastAsia" w:ascii="仿宋_GB2312" w:hAnsi="Calibri" w:eastAsia="仿宋_GB2312" w:cs="仿宋_GB2312"/>
          <w:kern w:val="2"/>
          <w:sz w:val="32"/>
          <w:szCs w:val="32"/>
        </w:rPr>
        <w:t>聚焦中药组合物治疗肺癌过程中存在的“机制不清、有效药物成分追踪困难、临床创新转化不足”等问题，提取筛选黄芩、丹参等中药材中具有抗肿瘤活性的中药关键成分，制成中药制剂，形成标准化治疗方案；利用网络药理学、生物信息学、分子生物学、药物设计学等现代化手段，深入研究中药组合物治疗肺癌的有效靶点、分子信号通路及调控机制；通过建立肺癌动物模型，筛选一系列潜在的有效验方，评价优势验方的疗效和安全性；利用现代药物制剂技术，优化中药组合物的剂型制备工艺，提高其生物利用度和稳定性，建立严格的质量控制标准，确保中药组合物的质量和安全性，实现整体靶向治疗。</w:t>
      </w:r>
    </w:p>
    <w:p>
      <w:pPr>
        <w:widowControl w:val="0"/>
        <w:adjustRightInd/>
        <w:spacing w:after="0" w:line="580" w:lineRule="exact"/>
        <w:ind w:firstLine="643"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b/>
          <w:kern w:val="2"/>
          <w:sz w:val="32"/>
          <w:szCs w:val="32"/>
        </w:rPr>
        <w:t>考核指标：</w:t>
      </w:r>
      <w:r>
        <w:rPr>
          <w:rFonts w:hint="eastAsia" w:ascii="仿宋_GB2312" w:hAnsi="Calibri" w:eastAsia="仿宋_GB2312" w:cs="仿宋_GB2312"/>
          <w:kern w:val="2"/>
          <w:sz w:val="32"/>
          <w:szCs w:val="32"/>
        </w:rPr>
        <w:t>研发治疗肺癌中药剂型不少于3个，在不少于15家医疗机构进行示范应用，应用临床病例数不少于1000例；建立临床样本的蛋白组学数据库、基因组学配套分析数据库，探寻与肺癌多药耐药机制、免疫调控相关的致病靶点不少于2个；构建模拟肺癌疾病发展进程高度相似的动物模型，建立肺癌系统化疗、靶向治疗、免疫治疗的中医药效评价系统；申请发明专利不少于2项；发表高水平论文不少于5篇；培养研究生不少于5人。</w:t>
      </w:r>
    </w:p>
    <w:p>
      <w:pPr>
        <w:widowControl w:val="0"/>
        <w:adjustRightInd/>
        <w:spacing w:after="0" w:line="580" w:lineRule="exact"/>
        <w:ind w:firstLine="640"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拟支持项目1项，支持额度不超过120万元。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w:t>
      </w:r>
      <w:r>
        <w:rPr>
          <w:rFonts w:ascii="仿宋_GB2312" w:hAnsi="Calibri" w:eastAsia="仿宋_GB2312" w:cs="仿宋_GB2312"/>
          <w:b/>
          <w:color w:val="000000"/>
          <w:kern w:val="2"/>
          <w:sz w:val="32"/>
          <w:szCs w:val="32"/>
        </w:rPr>
        <w:t>8</w:t>
      </w:r>
      <w:r>
        <w:rPr>
          <w:rFonts w:hint="eastAsia" w:ascii="仿宋_GB2312" w:hAnsi="Calibri" w:eastAsia="仿宋_GB2312" w:cs="仿宋_GB2312"/>
          <w:b/>
          <w:color w:val="000000"/>
          <w:kern w:val="2"/>
          <w:sz w:val="32"/>
          <w:szCs w:val="32"/>
        </w:rPr>
        <w:t>：基于多模态域适应技术的白血病智能诊疗体系研发及应用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白血病精准诊疗领域中多模态数据融合分析困难和外推性能不佳等问题，研发基于Transformer、注意力机制等算法的新型多模态数据表征技术，实现多模态大数据的标准化表征和结构化存储，建立白血病多模态大数据融合平台。开发新型多模态数据融合分析算法，挖掘模态间特征的互补性和独立性，结合基础试验研究确定模态之间的生物学关联机制，实现对白血病预后风险和转归结局的精准预测。开发新型的域适应算法，实现多模态模型在不同医疗机构之间的知识迁移和特征共享，研发适用于不同层级医疗机构的白血病智能诊疗体系并推广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构建多中心白血病多模态大数据融合平台，收集至少5000例白血病患者数据，筛选白血病标志物不少于3个，建立白血病精准诊断、预后评估模型2个，研发多模态域适应白血病智能诊疗体系1套；在10家及以上医疗机构推广应用，应用临床病例不少于1000例；培养研究生不少于10人，发表高水平论文不少于5篇，申请或授权发明专利不少于2项，制定行业标准或临床指南不少于1项。</w:t>
      </w:r>
    </w:p>
    <w:p>
      <w:pPr>
        <w:widowControl w:val="0"/>
        <w:adjustRightInd/>
        <w:spacing w:after="0" w:line="580" w:lineRule="exact"/>
        <w:ind w:firstLine="640" w:firstLineChars="200"/>
        <w:jc w:val="both"/>
        <w:textAlignment w:val="baseline"/>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9</w:t>
      </w:r>
      <w:r>
        <w:rPr>
          <w:rFonts w:hint="eastAsia" w:ascii="仿宋_GB2312" w:hAnsi="Calibri" w:eastAsia="仿宋_GB2312" w:cs="仿宋_GB2312"/>
          <w:b/>
          <w:kern w:val="2"/>
          <w:sz w:val="32"/>
          <w:szCs w:val="32"/>
        </w:rPr>
        <w:t>：基于多模态心理诊断系统研发及应用示范</w:t>
      </w:r>
    </w:p>
    <w:p>
      <w:pPr>
        <w:widowControl w:val="0"/>
        <w:adjustRightInd/>
        <w:spacing w:after="0" w:line="580" w:lineRule="exact"/>
        <w:ind w:firstLine="643"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b/>
          <w:kern w:val="2"/>
          <w:sz w:val="32"/>
          <w:szCs w:val="32"/>
        </w:rPr>
        <w:t>研究内容：</w:t>
      </w:r>
      <w:r>
        <w:rPr>
          <w:rFonts w:hint="eastAsia" w:ascii="仿宋_GB2312" w:hAnsi="Calibri" w:eastAsia="仿宋_GB2312" w:cs="仿宋_GB2312"/>
          <w:kern w:val="2"/>
          <w:sz w:val="32"/>
          <w:szCs w:val="32"/>
        </w:rPr>
        <w:t>聚焦心理疾病诊断评估主观性强、早期识别困难等问题，运用人工智能、大数据和传感器技术，研究基于多模态生物体征感知的情绪识别与分析技术，设计基于跨模态融合的情绪感知模型；研发多维生理采集与辅助心理诊断装备和系统，建立关键心理疾病诊断数据分析平台，基于数据仓库（ETL）高效处理技术，收集临床数据，记录患者的人口学资料、伴随疾病及亲缘信息、症状评测等信息；建立心理疾病多模态数据库和专病数据库，将评测数据和临床多导数据融合，建立精神疾病AI预测与分类模型；开展全国综合性医院临床应用示范，实现心理健康的多场景应用。</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考核指标：</w:t>
      </w:r>
      <w:r>
        <w:rPr>
          <w:rFonts w:hint="eastAsia" w:ascii="仿宋_GB2312" w:hAnsi="Calibri" w:eastAsia="仿宋_GB2312" w:cs="仿宋_GB2312"/>
          <w:kern w:val="2"/>
          <w:sz w:val="32"/>
          <w:szCs w:val="32"/>
        </w:rPr>
        <w:t>突破人体信息采集硬件关键技术不少于2项，开发多维生理采集与辅助心理诊断智能分析、分类算法不少于2种，建立情绪感知模型不少于1种，研制多维辅助心理诊断装备不少于1种并实现相关技术转化：完成至少1个心理治疗设备的医疗器械注册；在不少于2家三甲医院进行示范应用，形成不少于1万例样本的心理评估关联诊断数据库；发表高水平论文不少于5篇；培养研究生不少于5人。</w:t>
      </w:r>
    </w:p>
    <w:p>
      <w:pPr>
        <w:widowControl w:val="0"/>
        <w:adjustRightInd/>
        <w:spacing w:after="0" w:line="580" w:lineRule="exact"/>
        <w:ind w:firstLine="640"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拟支持项目1项，支持额度不超过120万元。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10</w:t>
      </w:r>
      <w:r>
        <w:rPr>
          <w:rFonts w:hint="eastAsia" w:ascii="仿宋_GB2312" w:hAnsi="Calibri" w:eastAsia="仿宋_GB2312" w:cs="仿宋_GB2312"/>
          <w:b/>
          <w:kern w:val="2"/>
          <w:sz w:val="32"/>
          <w:szCs w:val="32"/>
        </w:rPr>
        <w:t>：功能性细菌纤维素载药微球制备技术开发及在肝癌治疗中应用</w:t>
      </w:r>
    </w:p>
    <w:p>
      <w:pPr>
        <w:widowControl w:val="0"/>
        <w:spacing w:after="0" w:line="580" w:lineRule="exact"/>
        <w:ind w:firstLine="630" w:firstLineChars="196"/>
        <w:jc w:val="both"/>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经肝动脉化疗栓塞术（TACE）治疗肝癌过程中，对更高生物安全性、减少术后并发症、精细定制载药微球的需求，打破国外技术壁垒，研究功能性天然细菌纤维素载药微球在TACE治疗方面的应用，推广其从头合成制备技术，开发对肝内残余病灶及微小转移灶具有治疗功能的细菌纤维素载药微球产品，解决术后肝功能损伤、肿瘤完全坏死率低、复发率高等问题，提高肝癌的治疗效果和患者的生存质量。</w:t>
      </w:r>
    </w:p>
    <w:p>
      <w:pPr>
        <w:widowControl w:val="0"/>
        <w:spacing w:after="0" w:line="580" w:lineRule="exact"/>
        <w:ind w:firstLine="630" w:firstLineChars="196"/>
        <w:jc w:val="both"/>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制定基于细菌纤维素载药微球的肝动脉化疗栓塞术治疗方案，开发2种以上细菌纤维素载药微球III类医疗器械产品，完成20例肝癌患者临床验证；申请或获得医疗器械注册证1项以上，在不少于2家医疗机构进行推广应用；申请发明专利不少于2项，发表高水平论文不少于5篇；培养研究生不少于6人，开发科研助理岗位不少于2个。</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12</w:t>
      </w:r>
      <w:r>
        <w:rPr>
          <w:rStyle w:val="9"/>
          <w:rFonts w:hint="eastAsia" w:ascii="仿宋_GB2312" w:eastAsia="仿宋_GB2312" w:cs="Calibri"/>
          <w:kern w:val="2"/>
        </w:rPr>
        <w:t>0万元。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11</w:t>
      </w:r>
      <w:r>
        <w:rPr>
          <w:rFonts w:hint="eastAsia" w:ascii="仿宋_GB2312" w:hAnsi="Calibri" w:eastAsia="仿宋_GB2312" w:cs="仿宋_GB2312"/>
          <w:b/>
          <w:kern w:val="2"/>
          <w:sz w:val="32"/>
          <w:szCs w:val="32"/>
        </w:rPr>
        <w:t>：慢性心力衰竭发病中的免疫机制研究及人工智能支持系统的研发和应用</w:t>
      </w:r>
    </w:p>
    <w:p>
      <w:pPr>
        <w:widowControl w:val="0"/>
        <w:adjustRightInd/>
        <w:spacing w:after="0" w:line="580" w:lineRule="exact"/>
        <w:ind w:firstLine="643"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b/>
          <w:kern w:val="2"/>
          <w:sz w:val="32"/>
          <w:szCs w:val="32"/>
        </w:rPr>
        <w:t>研究内容：</w:t>
      </w:r>
      <w:r>
        <w:rPr>
          <w:rFonts w:hint="eastAsia" w:ascii="仿宋_GB2312" w:hAnsi="Calibri" w:eastAsia="仿宋_GB2312" w:cs="仿宋_GB2312"/>
          <w:kern w:val="2"/>
          <w:sz w:val="32"/>
          <w:szCs w:val="32"/>
        </w:rPr>
        <w:t>改善心力衰竭预后、降低病死率是社会公共卫生的迫切需求。聚焦心力衰竭发生发展中的免疫机制，以锌指蛋白A20为切入点，明确其信号通路上的新型分子标志物；构建心力衰竭生物样本库，运用人工智能技术对患者的临床特征、血液学指标、影像学指标、预后等数据进行深度挖掘，为临床治疗提供辅助指导；开发心力衰竭人工智能支持系统，用于患者疾病教育、心理教育、定期随访等慢病管理，从而提高心力衰竭患者治疗依从性、进一步改善预后。</w:t>
      </w:r>
    </w:p>
    <w:p>
      <w:pPr>
        <w:widowControl w:val="0"/>
        <w:adjustRightInd/>
        <w:spacing w:after="0" w:line="580" w:lineRule="exact"/>
        <w:ind w:firstLine="643" w:firstLineChars="200"/>
        <w:jc w:val="both"/>
        <w:textAlignment w:val="baseline"/>
        <w:rPr>
          <w:rFonts w:ascii="仿宋_GB2312" w:hAnsi="Calibri" w:eastAsia="仿宋_GB2312" w:cs="仿宋_GB2312"/>
          <w:kern w:val="2"/>
          <w:sz w:val="32"/>
          <w:szCs w:val="32"/>
        </w:rPr>
      </w:pPr>
      <w:r>
        <w:rPr>
          <w:rFonts w:hint="eastAsia" w:ascii="仿宋_GB2312" w:hAnsi="Calibri" w:eastAsia="仿宋_GB2312" w:cs="仿宋_GB2312"/>
          <w:b/>
          <w:kern w:val="2"/>
          <w:sz w:val="32"/>
          <w:szCs w:val="32"/>
        </w:rPr>
        <w:t>考核指标：</w:t>
      </w:r>
      <w:r>
        <w:rPr>
          <w:rFonts w:hint="eastAsia" w:ascii="仿宋_GB2312" w:hAnsi="Calibri" w:eastAsia="仿宋_GB2312" w:cs="仿宋_GB2312"/>
          <w:kern w:val="2"/>
          <w:sz w:val="32"/>
          <w:szCs w:val="32"/>
        </w:rPr>
        <w:t>筛选参与心力衰竭的免疫标志物不少于2个，临床样本验证不少于300例；发现心力衰竭治疗新靶点不少于2个；构建心力衰竭患者生物样本库，收集生物样本不少于3000例；创建大数据平台进行随访分析，开发心力衰竭人工智能支持系统并进行应用；发表高水平论文不少于3篇，培养研究生不少于2名。</w:t>
      </w:r>
    </w:p>
    <w:p>
      <w:pPr>
        <w:widowControl w:val="0"/>
        <w:spacing w:after="0" w:line="580" w:lineRule="exact"/>
        <w:ind w:firstLine="627" w:firstLineChars="196"/>
        <w:jc w:val="both"/>
        <w:rPr>
          <w:rStyle w:val="9"/>
          <w:rFonts w:ascii="仿宋_GB2312" w:hAnsi="Calibri" w:eastAsia="仿宋_GB2312" w:cs="Calibri"/>
          <w:color w:val="auto"/>
          <w:kern w:val="2"/>
          <w:sz w:val="21"/>
          <w:szCs w:val="21"/>
        </w:rPr>
      </w:pPr>
      <w:r>
        <w:rPr>
          <w:rStyle w:val="9"/>
          <w:rFonts w:hint="eastAsia" w:ascii="仿宋_GB2312" w:eastAsia="仿宋_GB2312" w:cs="Calibri"/>
          <w:color w:val="auto"/>
          <w:kern w:val="2"/>
        </w:rPr>
        <w:t>拟支持项目1项，支持额度不超过</w:t>
      </w:r>
      <w:r>
        <w:rPr>
          <w:rStyle w:val="9"/>
          <w:rFonts w:ascii="仿宋_GB2312" w:eastAsia="仿宋_GB2312" w:cs="Calibri"/>
          <w:color w:val="auto"/>
          <w:kern w:val="2"/>
        </w:rPr>
        <w:t>60</w:t>
      </w:r>
      <w:r>
        <w:rPr>
          <w:rStyle w:val="9"/>
          <w:rFonts w:hint="eastAsia" w:ascii="仿宋_GB2312" w:eastAsia="仿宋_GB2312" w:cs="Calibri"/>
          <w:color w:val="auto"/>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kern w:val="2"/>
          <w:sz w:val="32"/>
          <w:szCs w:val="32"/>
        </w:rPr>
        <w:t>方向</w:t>
      </w:r>
      <w:r>
        <w:rPr>
          <w:rFonts w:ascii="仿宋_GB2312" w:hAnsi="Calibri" w:eastAsia="仿宋_GB2312" w:cs="仿宋_GB2312"/>
          <w:b/>
          <w:kern w:val="2"/>
          <w:sz w:val="32"/>
          <w:szCs w:val="32"/>
        </w:rPr>
        <w:t>12</w:t>
      </w:r>
      <w:r>
        <w:rPr>
          <w:rFonts w:hint="eastAsia" w:ascii="仿宋_GB2312" w:hAnsi="Calibri" w:eastAsia="仿宋_GB2312" w:cs="仿宋_GB2312"/>
          <w:b/>
          <w:kern w:val="2"/>
          <w:sz w:val="32"/>
          <w:szCs w:val="32"/>
        </w:rPr>
        <w:t>：融合临床医疗与康复治疗理念的智能电子血管研发与应用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临床医疗与康复治疗发展趋势，依托生物材料学、组织工程学、微电子工程、信息处理等技术开发新一代与人机接口对接的智能电子血管，监测并加快损伤血管修复和功能康复进程，并通过动物模型验证方案可行性；开发可与电子血管进行人机交互的智能APP软件，用于监测并操控电子血管的响应行为以加速血管愈合；探索临床医疗融合康复治疗新技术，促进血管疾病治愈，并结合APP精准操控血管治愈进程，实现个性化治疗。</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开发可电刺激控制药物释放的水凝胶纤维基电子血管产品和可人机交互的APP软件；开发介入智能电子血管促进疾病治愈的康复治疗手段不少于2种，并结合APP精准操控血管治愈进程，在不少于3家医疗机构进行应用示范；申请或授权发明专利不少于5项，发表高水平论文不少于10篇，培养团队科研骨干不少于3人，培养研究生不少于5名。</w:t>
      </w:r>
    </w:p>
    <w:p>
      <w:pPr>
        <w:widowControl w:val="0"/>
        <w:adjustRightInd/>
        <w:spacing w:after="0" w:line="580" w:lineRule="exact"/>
        <w:ind w:firstLine="640" w:firstLineChars="200"/>
        <w:jc w:val="both"/>
        <w:textAlignment w:val="baseline"/>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ascii="仿宋_GB2312" w:hAnsi="Calibri" w:eastAsia="仿宋_GB2312" w:cs="仿宋_GB2312"/>
          <w:b/>
          <w:color w:val="000000"/>
          <w:kern w:val="2"/>
          <w:sz w:val="32"/>
          <w:szCs w:val="32"/>
        </w:rPr>
        <w:t>方向13</w:t>
      </w:r>
      <w:r>
        <w:rPr>
          <w:rFonts w:hint="eastAsia" w:ascii="仿宋_GB2312" w:hAnsi="Calibri" w:eastAsia="仿宋_GB2312" w:cs="仿宋_GB2312"/>
          <w:b/>
          <w:color w:val="000000"/>
          <w:kern w:val="2"/>
          <w:sz w:val="32"/>
          <w:szCs w:val="32"/>
        </w:rPr>
        <w:t>：基于临床和关键基因数据的围术期脑卒中预测、防治体系的建立与应用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围术期脑卒中高危人群预测筛查手段有限问题，以预测和个体化干预围术期脑卒中高危人群为目标，建立临床资料-关键基因遗传特性联合数据库，分析脑卒中关键基因在青岛地区的分布情况以及其与临床症状间的关联性，进一步探索基因多态性在脑卒中发病中的作用。整合临床资料和关键基因数据，开发多参数评估模型，建立围术期脑卒中患者干预机制，解决高危人群筛查和干预问题，提升围术期脑卒中防治水平。</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建立青岛地区围术期脑卒中患者临床资料+关键基因数据库，纳入临床队列数据不少于1000例；发现新的围术期脑卒中相关关键基因不少于2个，构建围术期脑卒中预测模型体系，并在2家以上医疗机构进行应用示范，应用临床病例数不少于500例；申请或授权发明专利不少于2项，参与制定行业标准或者团体标准不少于1个，发表高水平论文不少于3篇，培养研究生2名。</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ascii="仿宋_GB2312" w:hAnsi="Calibri" w:eastAsia="仿宋_GB2312" w:cs="仿宋_GB2312"/>
          <w:b/>
          <w:color w:val="000000"/>
          <w:kern w:val="2"/>
          <w:sz w:val="32"/>
          <w:szCs w:val="32"/>
        </w:rPr>
        <w:t>方向14</w:t>
      </w:r>
      <w:r>
        <w:rPr>
          <w:rFonts w:hint="eastAsia" w:ascii="仿宋_GB2312" w:hAnsi="Calibri" w:eastAsia="仿宋_GB2312" w:cs="仿宋_GB2312"/>
          <w:b/>
          <w:color w:val="000000"/>
          <w:kern w:val="2"/>
          <w:sz w:val="32"/>
          <w:szCs w:val="32"/>
        </w:rPr>
        <w:t>：基于骨质疏松多源大数据分析的骨折风险预测与智能决策管理系统的研发和基层应用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针对中老年人群骨质疏松发病率高、骨折风险高，缺乏规范化全病程管理的现状，通过集成多源骨质疏松大数据，构建骨折风险精准预测与智能决策管理系统，制定个性化全病程管理方案，开展临床应用示范，降低本地区骨质疏松性骨折的患病率。</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开发多源数据集成系统1套，集成骨质疏松数据样本不少于2万例；开发基于人工智能深度学习技术的骨质疏松骨折智能预测算法，制定针对骨质疏松个体骨折风险评估与干预方案，并在不少于4家基层社区卫生服务中心进行推广应用，服务人数不少于3000人；服务骨质疏松人群不少于5万人，应用临床病例数不少于5000例；申请或授权发明专利不少于2项，发表高水平论文不少于5篇；培养研究生不少于</w:t>
      </w:r>
      <w:r>
        <w:rPr>
          <w:rFonts w:ascii="仿宋_GB2312" w:hAnsi="Calibri" w:eastAsia="仿宋_GB2312" w:cs="仿宋_GB2312"/>
          <w:color w:val="000000"/>
          <w:kern w:val="2"/>
          <w:sz w:val="32"/>
          <w:szCs w:val="32"/>
        </w:rPr>
        <w:t>5</w:t>
      </w:r>
      <w:r>
        <w:rPr>
          <w:rFonts w:hint="eastAsia" w:ascii="仿宋_GB2312" w:hAnsi="Calibri" w:eastAsia="仿宋_GB2312" w:cs="仿宋_GB2312"/>
          <w:color w:val="000000"/>
          <w:kern w:val="2"/>
          <w:sz w:val="32"/>
          <w:szCs w:val="32"/>
        </w:rPr>
        <w:t>人。</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w:t>
      </w:r>
      <w:r>
        <w:rPr>
          <w:rStyle w:val="9"/>
          <w:rFonts w:hint="eastAsia" w:ascii="仿宋_GB2312" w:eastAsia="仿宋_GB2312" w:cs="Calibri"/>
          <w:kern w:val="2"/>
        </w:rPr>
        <w:t>0万元。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w:t>
      </w:r>
      <w:r>
        <w:rPr>
          <w:rFonts w:ascii="仿宋_GB2312" w:hAnsi="Calibri" w:eastAsia="仿宋_GB2312" w:cs="仿宋_GB2312"/>
          <w:b/>
          <w:color w:val="000000"/>
          <w:kern w:val="2"/>
          <w:sz w:val="32"/>
          <w:szCs w:val="32"/>
        </w:rPr>
        <w:t>15</w:t>
      </w:r>
      <w:r>
        <w:rPr>
          <w:rFonts w:hint="eastAsia" w:ascii="仿宋_GB2312" w:hAnsi="Calibri" w:eastAsia="仿宋_GB2312" w:cs="仿宋_GB2312"/>
          <w:b/>
          <w:color w:val="000000"/>
          <w:kern w:val="2"/>
          <w:sz w:val="32"/>
          <w:szCs w:val="32"/>
        </w:rPr>
        <w:t>：院前急救中胸外伤张力性气胸便携式快速胸腔置管关键技术研究和应用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提高胸外伤院前急救成功率，针对胸外伤合并张力性气胸病情隐匿、致死率高等问题，研究适合现场和转运途中的便携式快速胸腔置管关键技术，设计研制便携式带刃快速胸腔置管装置、现场快速肋间神经阻滞麻醉装置以及便携式胸外科胸腔引流装置，并进行实验验证，探索其临床可行性和安全性，并在医院急诊和急救中心进行操作技术培训和应用推广。</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研发便携式带刃快速胸腔置管装置、快速肋间神经阻滞麻醉装置、便携式胸外科胸腔引流装置以及一体化便携式箱体1套，完成医疗器械注册申请；申请或授权发明专利不少于2项，发表高水平论文不少于3篇，培养研究生不少于2人，培训操作医生和护士不少于30人。</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w:t>
      </w:r>
      <w:r>
        <w:rPr>
          <w:rStyle w:val="9"/>
          <w:rFonts w:hint="eastAsia" w:ascii="仿宋_GB2312" w:eastAsia="仿宋_GB2312" w:cs="Calibri"/>
          <w:kern w:val="2"/>
        </w:rPr>
        <w:t>0万元。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ascii="仿宋_GB2312" w:hAnsi="Calibri" w:eastAsia="仿宋_GB2312" w:cs="仿宋_GB2312"/>
          <w:b/>
          <w:color w:val="000000"/>
          <w:kern w:val="2"/>
          <w:sz w:val="32"/>
          <w:szCs w:val="32"/>
        </w:rPr>
        <w:t>方向16</w:t>
      </w:r>
      <w:r>
        <w:rPr>
          <w:rFonts w:hint="eastAsia" w:ascii="仿宋_GB2312" w:hAnsi="Calibri" w:eastAsia="仿宋_GB2312" w:cs="仿宋_GB2312"/>
          <w:b/>
          <w:color w:val="000000"/>
          <w:kern w:val="2"/>
          <w:sz w:val="32"/>
          <w:szCs w:val="32"/>
        </w:rPr>
        <w:t>：高尿酸血症与痛风人群非药物精准辅助治疗方法的研究及应用</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针对日益增长的高尿酸血症与痛风人群非药物治疗需求，攻克功能性食品或药食同源原料功效成分解析和规模化制备关键技术工艺；通过基因敲除鼠高尿酸模型和细胞学实验，建立功效评价的规范或标准；开发适用于高尿酸血症与痛风等慢性疾病的功能性精准食疗产品，完成临床功效评价；结合痛风临床数字诊疗系统应用案例数据结果，建立高尿酸血症与痛风人群的非药物精准辅助治疗方案，形成临床应用规范或指南；建立具有降尿酸新功能食品评价方法和技术规范，完成国家新功能食品的申报。</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获得功效成分高效制备技术工艺，研发针对高尿酸血症与痛风人群具有临床辅助治疗的功能性食品不少于2种，完成规范临床应用案例不低于200例，惠及人群不低于5000例；申请或授权发明专利不少于1项；制定功效评价方法和临床评价技术规范或标准不少于1个；完成不少于1种新功能食品的申报。</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kern w:val="2"/>
          <w:sz w:val="32"/>
          <w:szCs w:val="32"/>
        </w:rPr>
      </w:pPr>
      <w:r>
        <w:rPr>
          <w:rFonts w:hint="eastAsia" w:ascii="仿宋_GB2312" w:hAnsi="Calibri" w:eastAsia="仿宋_GB2312" w:cs="仿宋_GB2312"/>
          <w:b/>
          <w:color w:val="000000"/>
          <w:kern w:val="2"/>
          <w:sz w:val="32"/>
          <w:szCs w:val="32"/>
        </w:rPr>
        <w:t>方向1</w:t>
      </w:r>
      <w:r>
        <w:rPr>
          <w:rFonts w:ascii="仿宋_GB2312" w:hAnsi="Calibri" w:eastAsia="仿宋_GB2312" w:cs="仿宋_GB2312"/>
          <w:b/>
          <w:color w:val="000000"/>
          <w:kern w:val="2"/>
          <w:sz w:val="32"/>
          <w:szCs w:val="32"/>
        </w:rPr>
        <w:t>7</w:t>
      </w:r>
      <w:r>
        <w:rPr>
          <w:rFonts w:hint="eastAsia" w:ascii="仿宋_GB2312" w:hAnsi="Calibri" w:eastAsia="仿宋_GB2312" w:cs="仿宋_GB2312"/>
          <w:b/>
          <w:color w:val="000000"/>
          <w:kern w:val="2"/>
          <w:sz w:val="32"/>
          <w:szCs w:val="32"/>
        </w:rPr>
        <w:t>：</w:t>
      </w:r>
      <w:r>
        <w:rPr>
          <w:rFonts w:hint="eastAsia" w:ascii="仿宋_GB2312" w:hAnsi="Calibri" w:eastAsia="仿宋_GB2312" w:cs="仿宋_GB2312"/>
          <w:b/>
          <w:kern w:val="2"/>
          <w:sz w:val="32"/>
          <w:szCs w:val="32"/>
        </w:rPr>
        <w:t>区域性早产三级防控网络体系建设及早产精准预测的研究和应用</w:t>
      </w:r>
    </w:p>
    <w:p>
      <w:pPr>
        <w:widowControl w:val="0"/>
        <w:adjustRightInd/>
        <w:spacing w:after="0" w:line="580" w:lineRule="exact"/>
        <w:ind w:firstLine="643" w:firstLineChars="200"/>
        <w:jc w:val="both"/>
        <w:textAlignment w:val="baseline"/>
        <w:rPr>
          <w:rFonts w:ascii="仿宋_GB2312" w:hAnsi="Calibri" w:eastAsia="仿宋_GB2312" w:cs="仿宋_GB2312"/>
          <w:color w:val="FF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整合妇幼健康及辖区分层管理体系，建立社区-助产机构-危重救治中心三级防控网络;通过多中心早产人群数据统计分析，建立综合性早产数据库;回顾性分析生化免疫检测、影像学检查、流行病学特征等对预测早产的价值，构建早期预警评分系统;依托临床样本和数据，运用基因组学、分子生物学、影像学等技术，制定个体化、精准化治疗指南并进行推广应用</w:t>
      </w:r>
      <w:r>
        <w:rPr>
          <w:rFonts w:hint="eastAsia" w:ascii="仿宋_GB2312" w:hAnsi="Calibri" w:eastAsia="仿宋_GB2312" w:cs="仿宋_GB2312"/>
          <w:kern w:val="2"/>
          <w:sz w:val="32"/>
          <w:szCs w:val="32"/>
        </w:rPr>
        <w:t>。</w:t>
      </w:r>
    </w:p>
    <w:p>
      <w:pPr>
        <w:widowControl w:val="0"/>
        <w:adjustRightInd/>
        <w:spacing w:after="0" w:line="580" w:lineRule="exact"/>
        <w:ind w:firstLine="643" w:firstLineChars="200"/>
        <w:jc w:val="both"/>
        <w:textAlignment w:val="baseline"/>
        <w:rPr>
          <w:rFonts w:ascii="仿宋_GB2312" w:hAnsi="Calibri" w:eastAsia="仿宋_GB2312" w:cs="仿宋_GB2312"/>
          <w:color w:val="FF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构建社区-助产机构-危重救治中心三级防控网络体</w:t>
      </w:r>
      <w:r>
        <w:rPr>
          <w:rFonts w:hint="eastAsia" w:ascii="仿宋_GB2312" w:hAnsi="Calibri" w:eastAsia="仿宋_GB2312" w:cs="仿宋_GB2312"/>
          <w:kern w:val="2"/>
          <w:sz w:val="32"/>
          <w:szCs w:val="32"/>
        </w:rPr>
        <w:t>系和早期预警评分系统，制定个体化、精准化治疗指南不少于1个，应用并</w:t>
      </w:r>
      <w:r>
        <w:rPr>
          <w:rFonts w:hint="eastAsia" w:ascii="仿宋_GB2312" w:hAnsi="Calibri" w:eastAsia="仿宋_GB2312" w:cs="仿宋_GB2312"/>
          <w:color w:val="000000"/>
          <w:kern w:val="2"/>
          <w:sz w:val="32"/>
          <w:szCs w:val="32"/>
        </w:rPr>
        <w:t>覆盖相关主体不少于2</w:t>
      </w:r>
      <w:r>
        <w:rPr>
          <w:rFonts w:ascii="仿宋_GB2312" w:hAnsi="Calibri" w:eastAsia="仿宋_GB2312" w:cs="仿宋_GB2312"/>
          <w:color w:val="000000"/>
          <w:kern w:val="2"/>
          <w:sz w:val="32"/>
          <w:szCs w:val="32"/>
        </w:rPr>
        <w:t>0</w:t>
      </w:r>
      <w:r>
        <w:rPr>
          <w:rFonts w:hint="eastAsia" w:ascii="仿宋_GB2312" w:hAnsi="Calibri" w:eastAsia="仿宋_GB2312" w:cs="仿宋_GB2312"/>
          <w:color w:val="000000"/>
          <w:kern w:val="2"/>
          <w:sz w:val="32"/>
          <w:szCs w:val="32"/>
        </w:rPr>
        <w:t>家；建立综合性早产生物样本库和数据库，生物样本量和相关数据均不少于500例;申请或授权发明专利不少于1项，培养研究生不少于4名，发表高水平论文不少于3篇。</w:t>
      </w:r>
    </w:p>
    <w:p>
      <w:pPr>
        <w:widowControl w:val="0"/>
        <w:adjustRightInd/>
        <w:spacing w:after="0" w:line="580" w:lineRule="exact"/>
        <w:ind w:firstLine="640" w:firstLineChars="200"/>
        <w:jc w:val="both"/>
        <w:textAlignment w:val="baseline"/>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方向1</w:t>
      </w:r>
      <w:r>
        <w:rPr>
          <w:rFonts w:ascii="仿宋_GB2312" w:hAnsi="Calibri" w:eastAsia="仿宋_GB2312" w:cs="仿宋_GB2312"/>
          <w:b/>
          <w:color w:val="000000"/>
          <w:kern w:val="2"/>
          <w:sz w:val="32"/>
          <w:szCs w:val="32"/>
        </w:rPr>
        <w:t>8</w:t>
      </w:r>
      <w:r>
        <w:rPr>
          <w:rFonts w:hint="eastAsia" w:ascii="仿宋_GB2312" w:hAnsi="Calibri" w:eastAsia="仿宋_GB2312" w:cs="仿宋_GB2312"/>
          <w:b/>
          <w:color w:val="000000"/>
          <w:kern w:val="2"/>
          <w:sz w:val="32"/>
          <w:szCs w:val="32"/>
        </w:rPr>
        <w:t>：基于超声-压电动力学的肿瘤诊疗平台构建及其临床应用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聚焦肿瘤诊疗领域现有治疗手段治疗效果不理想、对健康组织损伤大等问题，利用超声驱动压电刺激，开发新型超声驱动压电材料，建立超声-压电技术融合肿瘤诊疗平台，实现对肿瘤组织的高分辨率成像和精准治疗，降低健康组织损伤，丰富肿瘤治疗手段，满足个体化治疗需求。</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开发基于钛酸钡的新型压电材料不少于2种，开展超声驱动压电刺激治疗肿瘤的临床应用研究，并在不少于3家医疗机构进行示范应用，应用临床病例数不少于300例；申请或授权发明专利不少于2项，发表高水平学术论文不少于5篇，培养研究生不少于5人。</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w:t>
      </w:r>
      <w:r>
        <w:rPr>
          <w:rStyle w:val="9"/>
          <w:rFonts w:hint="eastAsia" w:ascii="仿宋_GB2312" w:eastAsia="仿宋_GB2312" w:cs="Calibri"/>
          <w:kern w:val="2"/>
        </w:rPr>
        <w:t>0万元。</w:t>
      </w:r>
    </w:p>
    <w:p>
      <w:pPr>
        <w:widowControl w:val="0"/>
        <w:spacing w:after="0" w:line="580" w:lineRule="exact"/>
        <w:ind w:firstLine="630" w:firstLineChars="196"/>
        <w:jc w:val="both"/>
        <w:rPr>
          <w:rStyle w:val="9"/>
          <w:rFonts w:ascii="仿宋_GB2312" w:hAnsi="Calibri" w:eastAsia="仿宋_GB2312" w:cs="Calibri"/>
          <w:b/>
          <w:color w:val="auto"/>
          <w:kern w:val="2"/>
          <w:sz w:val="21"/>
          <w:szCs w:val="21"/>
        </w:rPr>
      </w:pPr>
      <w:r>
        <w:rPr>
          <w:rStyle w:val="9"/>
          <w:rFonts w:hint="eastAsia" w:ascii="仿宋_GB2312" w:eastAsia="仿宋_GB2312" w:cs="Calibri"/>
          <w:b/>
          <w:color w:val="auto"/>
          <w:kern w:val="2"/>
        </w:rPr>
        <w:t>方向</w:t>
      </w:r>
      <w:r>
        <w:rPr>
          <w:rStyle w:val="9"/>
          <w:rFonts w:ascii="仿宋_GB2312" w:eastAsia="仿宋_GB2312" w:cs="Calibri"/>
          <w:b/>
          <w:color w:val="auto"/>
          <w:kern w:val="2"/>
        </w:rPr>
        <w:t>19</w:t>
      </w:r>
      <w:r>
        <w:rPr>
          <w:rStyle w:val="9"/>
          <w:rFonts w:hint="eastAsia" w:ascii="仿宋_GB2312" w:eastAsia="仿宋_GB2312" w:cs="Calibri"/>
          <w:b/>
          <w:color w:val="auto"/>
          <w:kern w:val="2"/>
        </w:rPr>
        <w:t>：基于信息化的医院-社区联动泛血管疾病一体化管理模式的应用及评价</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针对我国泛血管疾病发病率和死亡率逐年上升且尚无完善防控体系问题，以医院-社区两级医疗单位为主体，建立多学科泛血管疾病管理中心，逐步健全转诊机制，开展基于远程医疗、可穿戴设备等新型技术的早期筛查和高危个体风险管控举措，开发基于常规医疗信息系统和人工智能等新型技术的综合风险评估和早期诊断体系，创建集早期筛查、早期诊断、早期治疗和长期随访于一体的综合管理平台和管理模式并推广应用，以降低泛血管疾病发病率与死亡率。</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建立涵盖不少于3万人群数据库的泛血管疾病早期筛查、诊治、长期随访的一体化管理平台1套，平台覆盖医疗机构不少于1</w:t>
      </w:r>
      <w:r>
        <w:rPr>
          <w:rFonts w:ascii="仿宋_GB2312" w:hAnsi="Calibri" w:eastAsia="仿宋_GB2312" w:cs="仿宋_GB2312"/>
          <w:color w:val="000000"/>
          <w:kern w:val="2"/>
          <w:sz w:val="32"/>
          <w:szCs w:val="32"/>
        </w:rPr>
        <w:t>0</w:t>
      </w:r>
      <w:r>
        <w:rPr>
          <w:rFonts w:hint="eastAsia" w:ascii="仿宋_GB2312" w:hAnsi="Calibri" w:eastAsia="仿宋_GB2312" w:cs="仿宋_GB2312"/>
          <w:color w:val="000000"/>
          <w:kern w:val="2"/>
          <w:sz w:val="32"/>
          <w:szCs w:val="32"/>
        </w:rPr>
        <w:t>家；建立适宜推广的医院-社区联动泛血管疾病综合管理模式，并将该模式推广应用不少于2家单位，应用病例不少于</w:t>
      </w:r>
      <w:r>
        <w:rPr>
          <w:rFonts w:ascii="仿宋_GB2312" w:hAnsi="Calibri" w:eastAsia="仿宋_GB2312" w:cs="仿宋_GB2312"/>
          <w:color w:val="000000"/>
          <w:kern w:val="2"/>
          <w:sz w:val="32"/>
          <w:szCs w:val="32"/>
        </w:rPr>
        <w:t>3</w:t>
      </w:r>
      <w:r>
        <w:rPr>
          <w:rFonts w:hint="eastAsia" w:ascii="仿宋_GB2312" w:hAnsi="Calibri" w:eastAsia="仿宋_GB2312" w:cs="仿宋_GB2312"/>
          <w:color w:val="000000"/>
          <w:kern w:val="2"/>
          <w:sz w:val="32"/>
          <w:szCs w:val="32"/>
        </w:rPr>
        <w:t>000人；申请或授权发明专利不少于2项，发表高水平论文不少于2篇，培养研究生不少于3名。</w:t>
      </w:r>
    </w:p>
    <w:p>
      <w:pPr>
        <w:widowControl w:val="0"/>
        <w:spacing w:after="0" w:line="580" w:lineRule="exact"/>
        <w:ind w:firstLine="627" w:firstLineChars="196"/>
        <w:jc w:val="both"/>
        <w:rPr>
          <w:rStyle w:val="9"/>
          <w:rFonts w:ascii="仿宋_GB2312" w:hAnsi="Calibri" w:eastAsia="仿宋_GB2312" w:cs="Calibri"/>
          <w:kern w:val="2"/>
          <w:sz w:val="21"/>
          <w:szCs w:val="21"/>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pacing w:after="0" w:line="580" w:lineRule="exact"/>
        <w:ind w:firstLine="643" w:firstLineChars="200"/>
        <w:jc w:val="both"/>
        <w:textAlignment w:val="baseline"/>
        <w:rPr>
          <w:rFonts w:ascii="仿宋_GB2312" w:hAnsi="Calibri" w:eastAsia="仿宋_GB2312" w:cs="仿宋_GB2312"/>
          <w:b/>
          <w:color w:val="000000"/>
          <w:kern w:val="2"/>
          <w:sz w:val="32"/>
          <w:szCs w:val="32"/>
        </w:rPr>
      </w:pPr>
      <w:r>
        <w:rPr>
          <w:rFonts w:hint="eastAsia" w:ascii="仿宋_GB2312" w:hAnsi="Calibri" w:eastAsia="仿宋_GB2312" w:cs="仿宋_GB2312"/>
          <w:b/>
          <w:color w:val="000000"/>
          <w:kern w:val="2"/>
          <w:sz w:val="32"/>
          <w:szCs w:val="32"/>
        </w:rPr>
        <w:t>方向</w:t>
      </w:r>
      <w:r>
        <w:rPr>
          <w:rFonts w:ascii="仿宋_GB2312" w:hAnsi="Calibri" w:eastAsia="仿宋_GB2312" w:cs="仿宋_GB2312"/>
          <w:b/>
          <w:color w:val="000000"/>
          <w:kern w:val="2"/>
          <w:sz w:val="32"/>
          <w:szCs w:val="32"/>
        </w:rPr>
        <w:t>20</w:t>
      </w:r>
      <w:r>
        <w:rPr>
          <w:rFonts w:hint="eastAsia" w:ascii="仿宋_GB2312" w:hAnsi="Calibri" w:eastAsia="仿宋_GB2312" w:cs="仿宋_GB2312"/>
          <w:b/>
          <w:color w:val="000000"/>
          <w:kern w:val="2"/>
          <w:sz w:val="32"/>
          <w:szCs w:val="32"/>
        </w:rPr>
        <w:t>：海洋多肽纳米酶在骨关节炎治疗中的研究及应用</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研究内容：</w:t>
      </w:r>
      <w:r>
        <w:rPr>
          <w:rFonts w:hint="eastAsia" w:ascii="仿宋_GB2312" w:hAnsi="Calibri" w:eastAsia="仿宋_GB2312" w:cs="仿宋_GB2312"/>
          <w:color w:val="000000"/>
          <w:kern w:val="2"/>
          <w:sz w:val="32"/>
          <w:szCs w:val="32"/>
        </w:rPr>
        <w:t>针对骨关节炎现有治疗策略的局限性，以临床转化为导向，筛选海洋活性肽，设计合成具有组装功能的纳米生物材料，以其为模板构筑具有多酶活性的纳米酶，揭示多肽纳米酶化学结构和物理形态、理化性质与其酶活的相关性，研究其清除关节部位活性氧并逆转氧化微环境、促进软骨再生的机制和效果，评估其在治疗骨关节炎中的应用潜力，并将其应用于临床，解决现有药物无法有效逆转骨关节炎病情进展的问题，达到多靶点协同治疗骨关节炎的效果。</w:t>
      </w:r>
    </w:p>
    <w:p>
      <w:pPr>
        <w:widowControl w:val="0"/>
        <w:adjustRightInd/>
        <w:spacing w:after="0" w:line="580" w:lineRule="exact"/>
        <w:ind w:firstLine="643" w:firstLineChars="200"/>
        <w:jc w:val="both"/>
        <w:textAlignment w:val="baseline"/>
        <w:rPr>
          <w:rFonts w:ascii="仿宋_GB2312" w:hAnsi="Calibri" w:eastAsia="仿宋_GB2312" w:cs="仿宋_GB2312"/>
          <w:color w:val="000000"/>
          <w:kern w:val="2"/>
          <w:sz w:val="32"/>
          <w:szCs w:val="32"/>
        </w:rPr>
      </w:pPr>
      <w:r>
        <w:rPr>
          <w:rFonts w:hint="eastAsia" w:ascii="仿宋_GB2312" w:hAnsi="Calibri" w:eastAsia="仿宋_GB2312" w:cs="仿宋_GB2312"/>
          <w:b/>
          <w:color w:val="000000"/>
          <w:kern w:val="2"/>
          <w:sz w:val="32"/>
          <w:szCs w:val="32"/>
        </w:rPr>
        <w:t>考核指标：</w:t>
      </w:r>
      <w:r>
        <w:rPr>
          <w:rFonts w:hint="eastAsia" w:ascii="仿宋_GB2312" w:hAnsi="Calibri" w:eastAsia="仿宋_GB2312" w:cs="仿宋_GB2312"/>
          <w:color w:val="000000"/>
          <w:kern w:val="2"/>
          <w:sz w:val="32"/>
          <w:szCs w:val="32"/>
        </w:rPr>
        <w:t>开发团簇、纤维、液滴等形态多肽纳米酶不少于1000种，室温储存期不少于3个月，酶活大于80%；将相关产品和技术在不少于3家医疗机构进行示范应用，惠及患者500人；构建骨关节炎患者样本库，收集生物样本不少于3000例；申请或授权发明专利不少于3项，实现高性能纳米酶成果转化1项，发表高水平论文不少于5篇，培养研究生不少于6名，开发科研助理岗位不少于2个。</w:t>
      </w:r>
    </w:p>
    <w:p>
      <w:pPr>
        <w:shd w:val="clear" w:color="auto" w:fill="FFFFFF"/>
        <w:spacing w:after="0" w:line="580" w:lineRule="exact"/>
        <w:ind w:firstLine="640" w:firstLineChars="200"/>
        <w:rPr>
          <w:rStyle w:val="9"/>
          <w:rFonts w:ascii="仿宋_GB2312" w:eastAsia="仿宋_GB2312" w:cs="Calibri"/>
          <w:kern w:val="2"/>
        </w:rPr>
      </w:pPr>
      <w:r>
        <w:rPr>
          <w:rStyle w:val="9"/>
          <w:rFonts w:hint="eastAsia" w:ascii="仿宋_GB2312" w:eastAsia="仿宋_GB2312" w:cs="Calibri"/>
          <w:kern w:val="2"/>
        </w:rPr>
        <w:t>拟支持项目1项，支持额度不超过</w:t>
      </w:r>
      <w:r>
        <w:rPr>
          <w:rStyle w:val="9"/>
          <w:rFonts w:ascii="仿宋_GB2312" w:eastAsia="仿宋_GB2312" w:cs="Calibri"/>
          <w:kern w:val="2"/>
        </w:rPr>
        <w:t>60</w:t>
      </w:r>
      <w:r>
        <w:rPr>
          <w:rStyle w:val="9"/>
          <w:rFonts w:hint="eastAsia" w:ascii="仿宋_GB2312" w:eastAsia="仿宋_GB2312" w:cs="Calibri"/>
          <w:kern w:val="2"/>
        </w:rPr>
        <w:t>万元。</w:t>
      </w:r>
    </w:p>
    <w:p>
      <w:pPr>
        <w:widowControl w:val="0"/>
        <w:adjustRightInd/>
        <w:snapToGrid/>
        <w:spacing w:after="0" w:line="580" w:lineRule="exact"/>
        <w:ind w:firstLine="646"/>
        <w:jc w:val="both"/>
        <w:outlineLvl w:val="1"/>
        <w:rPr>
          <w:rFonts w:ascii="楷体_GB2312" w:hAnsi="黑体" w:eastAsia="楷体_GB2312" w:cs="Times New Roman"/>
          <w:color w:val="000000"/>
          <w:kern w:val="2"/>
          <w:sz w:val="32"/>
          <w:szCs w:val="32"/>
        </w:rPr>
      </w:pPr>
      <w:r>
        <w:rPr>
          <w:rFonts w:hint="eastAsia" w:ascii="楷体_GB2312" w:hAnsi="黑体" w:eastAsia="楷体_GB2312" w:cs="楷体_GB2312"/>
          <w:color w:val="000000"/>
          <w:kern w:val="2"/>
          <w:sz w:val="32"/>
          <w:szCs w:val="32"/>
        </w:rPr>
        <w:t>（2）城市品质提升领域</w:t>
      </w:r>
    </w:p>
    <w:p>
      <w:pPr>
        <w:widowControl w:val="0"/>
        <w:autoSpaceDE w:val="0"/>
        <w:autoSpaceDN w:val="0"/>
        <w:adjustRightInd/>
        <w:snapToGrid/>
        <w:spacing w:after="0" w:line="580" w:lineRule="exact"/>
        <w:ind w:firstLine="643" w:firstLineChars="200"/>
        <w:jc w:val="both"/>
        <w:rPr>
          <w:rFonts w:ascii="仿宋_GB2312" w:hAnsi="Times New Roman" w:eastAsia="仿宋_GB2312" w:cs="仿宋_GB2312"/>
          <w:b/>
          <w:color w:val="000000"/>
          <w:kern w:val="2"/>
          <w:sz w:val="32"/>
          <w:szCs w:val="32"/>
        </w:rPr>
      </w:pPr>
      <w:r>
        <w:rPr>
          <w:rFonts w:hint="eastAsia" w:ascii="仿宋_GB2312" w:hAnsi="Times New Roman" w:eastAsia="仿宋_GB2312" w:cs="仿宋_GB2312"/>
          <w:b/>
          <w:color w:val="000000"/>
          <w:kern w:val="2"/>
          <w:sz w:val="32"/>
          <w:szCs w:val="32"/>
        </w:rPr>
        <w:t>1.碳达峰碳中和</w:t>
      </w:r>
    </w:p>
    <w:p>
      <w:pPr>
        <w:widowControl w:val="0"/>
        <w:autoSpaceDE w:val="0"/>
        <w:autoSpaceDN w:val="0"/>
        <w:adjustRightInd/>
        <w:snapToGrid/>
        <w:spacing w:after="0" w:line="580" w:lineRule="exact"/>
        <w:ind w:firstLine="643" w:firstLineChars="20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方向1：数据中心余热综合利用关键技术研究与示范</w:t>
      </w:r>
    </w:p>
    <w:p>
      <w:pPr>
        <w:widowControl w:val="0"/>
        <w:adjustRightInd/>
        <w:snapToGrid/>
        <w:spacing w:after="0" w:line="580" w:lineRule="exact"/>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 xml:space="preserve">    研究内容：</w:t>
      </w:r>
      <w:r>
        <w:rPr>
          <w:rFonts w:hint="eastAsia" w:ascii="仿宋_GB2312" w:hAnsi="Times New Roman" w:eastAsia="仿宋_GB2312" w:cs="仿宋_GB2312"/>
          <w:color w:val="000000"/>
          <w:kern w:val="2"/>
          <w:sz w:val="32"/>
          <w:szCs w:val="32"/>
        </w:rPr>
        <w:t>聚焦数据中心绿色低碳发展，面向数据中心对余热综合利用关键技术的重大需求，研究数据中心非对称多点热源下气流高效输配技术、风-制冷剂换热器强化换热技术、数据中心余热与负荷非同频协调机制及“源-网-荷”的优化设计方法、</w:t>
      </w:r>
      <w:bookmarkStart w:id="0" w:name="OLE_LINK1"/>
      <w:r>
        <w:rPr>
          <w:rFonts w:hint="eastAsia" w:ascii="仿宋_GB2312" w:hAnsi="Times New Roman" w:eastAsia="仿宋_GB2312" w:cs="仿宋_GB2312"/>
          <w:color w:val="000000"/>
          <w:kern w:val="2"/>
          <w:sz w:val="32"/>
          <w:szCs w:val="32"/>
        </w:rPr>
        <w:t>动态环境条件下自然冷源</w:t>
      </w:r>
      <w:bookmarkEnd w:id="0"/>
      <w:r>
        <w:rPr>
          <w:rFonts w:hint="eastAsia" w:ascii="仿宋_GB2312" w:hAnsi="Times New Roman" w:eastAsia="仿宋_GB2312" w:cs="仿宋_GB2312"/>
          <w:color w:val="000000"/>
          <w:kern w:val="2"/>
          <w:sz w:val="32"/>
          <w:szCs w:val="32"/>
        </w:rPr>
        <w:t>应用技术，建立PUE评价方法。</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 xml:space="preserve">应用示范2处，示范面积20000平米以上，项目实施后年增收600万元，二氧化碳年减排600吨；申请或授权发明专利数不少于3件，制定行业标准不少于1件，发表科研论文不少于3篇，培养研究生不少于4人。 </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utoSpaceDE w:val="0"/>
        <w:autoSpaceDN w:val="0"/>
        <w:adjustRightInd/>
        <w:snapToGrid/>
        <w:spacing w:after="0" w:line="580" w:lineRule="exact"/>
        <w:ind w:firstLine="643" w:firstLineChars="20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方向2：工业循环水系统节水减污降碳协同增效关键技术和装备研究与应用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工业循环水系统节水减污降碳协同增效技术需求，解析工业循环水系统水平衡及关键离子迁移转化动态规律，研究工业循环水系统高浓缩倍数工况下的腐蚀结垢趋势规律及行为特征。研究高能效循环水除垢、阻垢电化学等工艺组合水质优化调控技术，探索工业循环水系统水质变化与装备运行工艺参数之间的耦合关系。研发适用于复杂水质工况下的工业循环水水质优化调控技术，形成工业化可推广应用的技术装备；开发具有抗氟腐蚀、强析氯性能的惰性阳极材料，构建基于对流传质调控的酸碱分离非隔膜工业循环水电解体系。</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单循环处理钙硬和碱度去除率≥60%，在工业循环水电导率≤3000 μS/cm工况下，旁路取水量不高于循环水量的5‰，电化学水质优化调控装备能够保障系统在8倍以上浓缩倍数下良性运行，不结垢、不腐蚀，并实现工业循环水系统节水减排40%以上；申请或授权发明专利不少于3件，发表学术论文不少6篇（其中SCI论文不少于3篇），培养研究生6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方向3：</w:t>
      </w:r>
      <w:r>
        <w:rPr>
          <w:rFonts w:hint="eastAsia" w:ascii="仿宋_GB2312" w:hAnsi="Times New Roman" w:eastAsia="仿宋_GB2312" w:cs="仿宋_GB2312"/>
          <w:b/>
          <w:bCs/>
          <w:color w:val="000000"/>
          <w:kern w:val="2"/>
          <w:sz w:val="32"/>
          <w:szCs w:val="32"/>
        </w:rPr>
        <w:t>青岛市公共建筑零碳创建与能碳数字化建设研究与示范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公共建筑零碳创建中存在的全生命周期零碳管理问题，开发基于人工智能、大数据、物联网等技术与绿色供应链建设要求的建筑能碳数字化管理工具，开发建筑多能互补与储能控制技术、暖通空调系统智慧控制技术、关键装备AI智慧诊断算法等公共建筑绿色零碳关键技术，开发公共建筑系统零碳运维智慧控制系统，建立公共建筑数字化能碳管理平台。建立零碳管理数字化流程及数字化管理机制，</w:t>
      </w:r>
      <w:r>
        <w:rPr>
          <w:rFonts w:ascii="仿宋_GB2312" w:hAnsi="Times New Roman" w:eastAsia="仿宋_GB2312" w:cs="仿宋_GB2312"/>
          <w:color w:val="000000"/>
          <w:kern w:val="2"/>
          <w:sz w:val="32"/>
          <w:szCs w:val="32"/>
        </w:rPr>
        <w:t>制定公共建筑零碳创建标准，构建公共建筑零碳评估指标体系；</w:t>
      </w:r>
      <w:r>
        <w:rPr>
          <w:rFonts w:hint="eastAsia" w:ascii="仿宋_GB2312" w:hAnsi="Times New Roman" w:eastAsia="仿宋_GB2312" w:cs="仿宋_GB2312"/>
          <w:color w:val="000000"/>
          <w:kern w:val="2"/>
          <w:sz w:val="32"/>
          <w:szCs w:val="32"/>
        </w:rPr>
        <w:t>提升公共建筑全生命周期绿色低碳管理水平。</w:t>
      </w:r>
    </w:p>
    <w:p>
      <w:pPr>
        <w:widowControl w:val="0"/>
        <w:adjustRightInd/>
        <w:snapToGrid/>
        <w:spacing w:after="0" w:line="580" w:lineRule="exact"/>
        <w:ind w:firstLine="643" w:firstLineChars="20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申请或授权发明专利3项，申请或授权软件著作权不少于2件，发表SCI、EI论文3篇，应用示范不少于2处，实现年减碳不少于900吨。</w:t>
      </w:r>
    </w:p>
    <w:p>
      <w:pPr>
        <w:widowControl w:val="0"/>
        <w:adjustRightInd/>
        <w:snapToGrid/>
        <w:spacing w:after="0" w:line="580" w:lineRule="exact"/>
        <w:ind w:firstLine="640" w:firstLineChars="200"/>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方向4：</w:t>
      </w:r>
      <w:r>
        <w:rPr>
          <w:rFonts w:hint="eastAsia" w:ascii="仿宋_GB2312" w:hAnsi="Times New Roman" w:eastAsia="仿宋_GB2312" w:cs="仿宋_GB2312"/>
          <w:b/>
          <w:bCs/>
          <w:color w:val="000000"/>
          <w:kern w:val="2"/>
          <w:sz w:val="32"/>
          <w:szCs w:val="32"/>
        </w:rPr>
        <w:t>碳中和目标下的青岛市居住区低碳技术研究及示范</w:t>
      </w:r>
    </w:p>
    <w:p>
      <w:pPr>
        <w:widowControl w:val="0"/>
        <w:adjustRightInd/>
        <w:snapToGrid/>
        <w:spacing w:after="0" w:line="580" w:lineRule="exact"/>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 xml:space="preserve">    研究内容：</w:t>
      </w:r>
      <w:r>
        <w:rPr>
          <w:rFonts w:hint="eastAsia" w:ascii="仿宋_GB2312" w:hAnsi="Times New Roman" w:eastAsia="仿宋_GB2312" w:cs="仿宋_GB2312"/>
          <w:color w:val="000000"/>
          <w:kern w:val="2"/>
          <w:sz w:val="32"/>
          <w:szCs w:val="32"/>
        </w:rPr>
        <w:t>聚焦青岛居住区降碳的实际需求，研究青岛居住区绿地对城市微气候、冷岛效应和建筑能耗的影响，研究居住区废弃物资源化利用技术、</w:t>
      </w:r>
      <w:r>
        <w:fldChar w:fldCharType="begin"/>
      </w:r>
      <w:r>
        <w:instrText xml:space="preserve"> HYPERLINK "https://kns.cnki.net/kcms2/article/abstract?v=kHMw6kznbpqPaGcRaCPp-1gR-X3kweprw8-hhOZqPuQZ2sDfKylCB5O753879VTTBxuA-rZzaqvVhQH6Q8FHunEk5fys2cV-42qlp6dpbKdYRDNFT3ZJ2jnjNgcyHsSMFgMEYLv3aJGYVbUwaS4XbNYppDW260uaxl03iaWCGhzCHlzjR9wIlaNXwwkikhUx0pyeEQPlPU8=&amp;uniplatform=NZKPT&amp;language=CHS" \t "_blank" </w:instrText>
      </w:r>
      <w:r>
        <w:fldChar w:fldCharType="separate"/>
      </w:r>
      <w:r>
        <w:rPr>
          <w:rFonts w:hint="eastAsia" w:ascii="仿宋_GB2312" w:hAnsi="Times New Roman" w:eastAsia="仿宋_GB2312" w:cs="仿宋_GB2312"/>
          <w:color w:val="000000"/>
          <w:kern w:val="2"/>
          <w:sz w:val="32"/>
          <w:szCs w:val="32"/>
        </w:rPr>
        <w:t>生态修复改良技术</w:t>
      </w:r>
      <w:r>
        <w:rPr>
          <w:rFonts w:hint="eastAsia" w:ascii="仿宋_GB2312" w:hAnsi="Times New Roman" w:eastAsia="仿宋_GB2312" w:cs="仿宋_GB2312"/>
          <w:color w:val="000000"/>
          <w:kern w:val="2"/>
          <w:sz w:val="32"/>
          <w:szCs w:val="32"/>
        </w:rPr>
        <w:fldChar w:fldCharType="end"/>
      </w:r>
      <w:r>
        <w:rPr>
          <w:rFonts w:hint="eastAsia" w:ascii="仿宋_GB2312" w:hAnsi="Times New Roman" w:eastAsia="仿宋_GB2312" w:cs="仿宋_GB2312"/>
          <w:color w:val="000000"/>
          <w:kern w:val="2"/>
          <w:sz w:val="32"/>
          <w:szCs w:val="32"/>
        </w:rPr>
        <w:t>，优化居住区降碳绿地布局、植物群落配置、单株碳汇植物选择，开发基于ZigBee技术的节水型无线传感器网络绿地自动灌溉系统。</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开发出绿地自动灌溉系统1套、</w:t>
      </w:r>
      <w:r>
        <w:fldChar w:fldCharType="begin"/>
      </w:r>
      <w:r>
        <w:instrText xml:space="preserve"> HYPERLINK "https://kns.cnki.net/kcms2/article/abstract?v=kHMw6kznbpqPaGcRaCPp-1gR-X3kweprw8-hhOZqPuQZ2sDfKylCB5O753879VTTBxuA-rZzaqvVhQH6Q8FHunEk5fys2cV-42qlp6dpbKdYRDNFT3ZJ2jnjNgcyHsSMFgMEYLv3aJGYVbUwaS4XbNYppDW260uaxl03iaWCGhzCHlzjR9wIlaNXwwkikhUx0pyeEQPlPU8=&amp;uniplatform=NZKPT&amp;language=CHS" \t "_blank" </w:instrText>
      </w:r>
      <w:r>
        <w:fldChar w:fldCharType="separate"/>
      </w:r>
      <w:r>
        <w:rPr>
          <w:rFonts w:hint="eastAsia" w:ascii="仿宋_GB2312" w:hAnsi="Times New Roman" w:eastAsia="仿宋_GB2312" w:cs="仿宋_GB2312"/>
          <w:color w:val="000000"/>
          <w:kern w:val="2"/>
          <w:sz w:val="32"/>
          <w:szCs w:val="32"/>
        </w:rPr>
        <w:t>生态修复改良技术</w:t>
      </w:r>
      <w:r>
        <w:rPr>
          <w:rFonts w:hint="eastAsia" w:ascii="仿宋_GB2312" w:hAnsi="Times New Roman" w:eastAsia="仿宋_GB2312" w:cs="仿宋_GB2312"/>
          <w:color w:val="000000"/>
          <w:kern w:val="2"/>
          <w:sz w:val="32"/>
          <w:szCs w:val="32"/>
        </w:rPr>
        <w:fldChar w:fldCharType="end"/>
      </w:r>
      <w:r>
        <w:rPr>
          <w:rFonts w:hint="eastAsia" w:ascii="仿宋_GB2312" w:hAnsi="Times New Roman" w:eastAsia="仿宋_GB2312" w:cs="仿宋_GB2312"/>
          <w:color w:val="000000"/>
          <w:kern w:val="2"/>
          <w:sz w:val="32"/>
          <w:szCs w:val="32"/>
        </w:rPr>
        <w:t>体系1套；制定地方标准或行业标准不少于1项；应用示范不少于2个居住小区；发表高水平论文不少于10篇（其中SCI收录论文不少于5篇）；申请发明专利不少于3件；培养研究生不少于5人。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utoSpaceDE w:val="0"/>
        <w:autoSpaceDN w:val="0"/>
        <w:adjustRightInd/>
        <w:snapToGrid/>
        <w:spacing w:after="0" w:line="580" w:lineRule="exact"/>
        <w:ind w:firstLine="643" w:firstLineChars="200"/>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2.绿色技术</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方向1：利用厨余垃圾精深利用关键绿色技术及农膜产品创制与示范应用</w:t>
      </w:r>
    </w:p>
    <w:p>
      <w:pPr>
        <w:widowControl w:val="0"/>
        <w:adjustRightInd/>
        <w:snapToGrid/>
        <w:spacing w:after="0" w:line="580" w:lineRule="exact"/>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 xml:space="preserve">    研究内容：</w:t>
      </w:r>
      <w:r>
        <w:rPr>
          <w:rFonts w:hint="eastAsia" w:ascii="仿宋_GB2312" w:hAnsi="Times New Roman" w:eastAsia="仿宋_GB2312" w:cs="仿宋_GB2312"/>
          <w:color w:val="000000"/>
          <w:kern w:val="2"/>
          <w:sz w:val="32"/>
          <w:szCs w:val="32"/>
        </w:rPr>
        <w:t>针对厨余垃圾环境污染大、分类循环利用技术产品不足、资源化利用附加值低等问题，研究厨余垃圾固体废弃物智能复配和协同高效资源化利用技术；研究农膜功能精准调控的助剂开发和共性加工关键技术；阐明典型设施作物对光、温、湿环境因子的特需规律，明确功能性农膜对设施作物产量品质的影响机制，建立主要设施作物专用农膜功能精准匹配模型，研发高值化耐刮擦、防尘、调/转光等多功能助剂。</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研发出耐刮擦长效无滴、防尘、调/转光专用助剂3-5种，农膜加工工艺和生产关键技术1套以上，具有自主知识产权的农膜新产品2-4种；棚膜透光率＞90%、拉伸强度≥30MPa、断裂伸长率≥100%，厚度＜6µm，精准匹配模型1个，产品覆盖作物增产5%以上，农产品品质提高8%以上；建立试验示范区1处以上；申请或授权国家发明专利不少于4件，发表SCI论文不少于3篇，培养研究生不少于2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方向2：</w:t>
      </w:r>
      <w:r>
        <w:rPr>
          <w:rFonts w:hint="eastAsia" w:ascii="仿宋_GB2312" w:hAnsi="Times New Roman" w:eastAsia="仿宋_GB2312" w:cs="仿宋_GB2312"/>
          <w:b/>
          <w:bCs/>
          <w:color w:val="000000"/>
          <w:kern w:val="2"/>
          <w:sz w:val="32"/>
          <w:szCs w:val="32"/>
        </w:rPr>
        <w:t>绿色高性能水性聚氨酯胶粘剂的开发及产业化</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针对聚氨酯胶粘剂的VOC排放量较大的难题，设计并合成不同结构的水性聚氨酯，研究不同结构水性聚氨酯的乳液稳定性、乳液粘度、胶膜吸水率、胶粘剂拉伸剪切强度、薄膜力学性能、胶粘剂剥离强度等性能，进一步优化水性聚氨酯胶粘剂的结构；研究分子结构（分子极性、分子量、交联、分子结晶度等）对黏结性能的影响、作用机制，阐明结构-性能构效关系。确定影响水性聚氨酯粘结性能主要因素及其影响机制，优化水性聚氨酯胶粘剂的制备配方，开发高粘结性、耐溶剂性强、固体含量高的水性聚氨酯胶粘剂。</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开发至少1种水性聚氨酯粘合剂：流挂性≥150μm（湿膜、垂直）；基材适用ABS、 PC/ABS、 PC等,比现有聚氨酯类胶粘剂减少VOC排放95%以上；申请或授权发明专利不少于2件，发表SCI论文不少于4篇。</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方向3：</w:t>
      </w:r>
      <w:r>
        <w:rPr>
          <w:rFonts w:hint="eastAsia" w:ascii="仿宋_GB2312" w:hAnsi="Times New Roman" w:eastAsia="仿宋_GB2312" w:cs="仿宋_GB2312"/>
          <w:b/>
          <w:bCs/>
          <w:color w:val="000000"/>
          <w:kern w:val="2"/>
          <w:sz w:val="32"/>
          <w:szCs w:val="32"/>
        </w:rPr>
        <w:t>“地热+”冷热电联产技术研究与示范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分布式低碳能源供给等需求，深入开展“地热+”冷热电联产技术研究，研究地层分层、岩石热物性、地下水渗流等多因素影响下系统传热规律，分析取热-储能多情境下的地层温压场变化，研究地热优化开发、调控技术，研究地热能与太阳能、海洋能等多能互补的能量耦合机理，开发多工况场景“源-网-荷”协同联产及调控技术。</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建立一套基于“地热+”多能互补的冷/热/电低碳联产模拟仿真系统，系统碳排放减少15%；进行“地热+”冷/热/电联产应用示范；申请或授权发明专利1-2项，发表学术论文3-5篇，培养研究生4-5人。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方向4：</w:t>
      </w:r>
      <w:r>
        <w:rPr>
          <w:rFonts w:hint="eastAsia" w:ascii="仿宋_GB2312" w:hAnsi="Times New Roman" w:eastAsia="仿宋_GB2312" w:cs="仿宋_GB2312"/>
          <w:b/>
          <w:bCs/>
          <w:color w:val="000000"/>
          <w:kern w:val="2"/>
          <w:sz w:val="32"/>
          <w:szCs w:val="32"/>
        </w:rPr>
        <w:t>汉麻绿色脱胶及高值化技术研究及应用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针对传统汉麻纤维脱胶工艺污染大、能耗高以及应用产品附加值低的问题，从微生物酶复配、有限脱胶、多纤维配方、功能集成和汉麻非织造技术等方面，研究多酶协效脱胶工艺对残胶率的影响、三维空间内纤维分布与缠结状态，研究汉麻纤维的生物酶复配工艺与有限脱胶技术、多功能汉麻纤维体系的设计与优化、汉麻非织造产品的开发与产业化技术，研发多酶协效汉麻纤维有限脱胶工艺与汉麻非织造技术，开发功能化、高附加值汉麻非织造产品。</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研发汉麻复配酶脱胶技术1套；开发 2-3 种多功能汉麻非织造产品；申请或授权发明专利不少于2 件，发表高水平论文不少于5篇；培养研究生不少于4 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46"/>
        <w:jc w:val="both"/>
        <w:outlineLvl w:val="2"/>
        <w:rPr>
          <w:rFonts w:ascii="仿宋_GB2312" w:hAnsi="宋体" w:eastAsia="仿宋_GB2312" w:cs="仿宋_GB2312"/>
          <w:color w:val="000000"/>
          <w:kern w:val="2"/>
          <w:sz w:val="32"/>
          <w:szCs w:val="32"/>
        </w:rPr>
      </w:pPr>
      <w:r>
        <w:rPr>
          <w:rFonts w:hint="eastAsia" w:ascii="仿宋_GB2312" w:hAnsi="宋体" w:eastAsia="仿宋_GB2312" w:cs="仿宋_GB2312"/>
          <w:b/>
          <w:bCs/>
          <w:color w:val="000000"/>
          <w:kern w:val="2"/>
          <w:sz w:val="32"/>
          <w:szCs w:val="32"/>
        </w:rPr>
        <w:t>3.生态环境</w:t>
      </w:r>
    </w:p>
    <w:p>
      <w:pPr>
        <w:widowControl w:val="0"/>
        <w:adjustRightInd/>
        <w:snapToGrid/>
        <w:spacing w:after="0" w:line="580" w:lineRule="exact"/>
        <w:ind w:firstLine="630" w:firstLineChars="196"/>
        <w:jc w:val="both"/>
        <w:rPr>
          <w:rFonts w:ascii="仿宋_GB2312" w:hAnsi="宋体"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方向1：</w:t>
      </w:r>
      <w:r>
        <w:rPr>
          <w:rFonts w:hint="eastAsia" w:ascii="仿宋_GB2312" w:hAnsi="宋体" w:eastAsia="仿宋_GB2312" w:cs="仿宋_GB2312"/>
          <w:b/>
          <w:bCs/>
          <w:color w:val="000000"/>
          <w:kern w:val="2"/>
          <w:sz w:val="32"/>
          <w:szCs w:val="32"/>
        </w:rPr>
        <w:t>多通道多参数连续快速智能污水检测仪器研发与应用</w:t>
      </w:r>
    </w:p>
    <w:p>
      <w:pPr>
        <w:widowControl w:val="0"/>
        <w:adjustRightInd/>
        <w:snapToGrid/>
        <w:spacing w:after="0" w:line="580" w:lineRule="exact"/>
        <w:ind w:firstLine="480"/>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针对目前水质检测仪器无法实现多个水质指标的同步检测现状，分析不同参数之间的联系，优化参数间的转化速度和转化率，研究批量化分析方法、进样量、进样和载流速度、检出限和检测方法准确度。建立快速应急污水检测分析方法，研发低成本、高智能化、高可靠性的多通道多参数水质检测仪器。</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宋体" w:eastAsia="仿宋_GB2312" w:cs="仿宋_GB2312"/>
          <w:color w:val="000000"/>
          <w:kern w:val="2"/>
          <w:sz w:val="32"/>
          <w:szCs w:val="32"/>
        </w:rPr>
        <w:t>研制智能污水检测仪器1套，总体性能不低于现有产品，建立至少2种水质参数快速分析方法。实现年销售额不少于3000万元，每个样品的水质参数分析精度与国家相应分析标准测定的结果偏差不超过5%，申请或授权发明专利不少于2件。</w:t>
      </w:r>
    </w:p>
    <w:p>
      <w:pPr>
        <w:widowControl w:val="0"/>
        <w:adjustRightInd/>
        <w:snapToGrid/>
        <w:spacing w:after="0" w:line="580" w:lineRule="exact"/>
        <w:ind w:firstLine="627" w:firstLineChars="196"/>
        <w:jc w:val="both"/>
        <w:rPr>
          <w:rFonts w:ascii="仿宋_GB2312" w:hAnsi="宋体"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方向2：</w:t>
      </w:r>
      <w:r>
        <w:rPr>
          <w:rFonts w:hint="eastAsia" w:ascii="仿宋_GB2312" w:hAnsi="宋体" w:eastAsia="仿宋_GB2312" w:cs="仿宋_GB2312"/>
          <w:b/>
          <w:bCs/>
          <w:color w:val="000000"/>
          <w:kern w:val="2"/>
          <w:sz w:val="32"/>
          <w:szCs w:val="32"/>
        </w:rPr>
        <w:t>基于旋转水力空化技术的印染废水处理装备研制</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针对印染</w:t>
      </w:r>
      <w:r>
        <w:fldChar w:fldCharType="begin"/>
      </w:r>
      <w:r>
        <w:instrText xml:space="preserve"> HYPERLINK "https://baike.baidu.com/item/åºæ°´" \t "https://baike.baidu.com/item/%E5%8D%B0%E6%9F%93%E5%BA%9F%E6%B0%B4%E5%A4%84%E7%90%86%E5%B7%A5%E8%89%BA/_blank" </w:instrText>
      </w:r>
      <w:r>
        <w:fldChar w:fldCharType="separate"/>
      </w:r>
      <w:r>
        <w:rPr>
          <w:rFonts w:hint="eastAsia" w:ascii="仿宋_GB2312" w:hAnsi="宋体" w:eastAsia="仿宋_GB2312" w:cs="仿宋_GB2312"/>
          <w:color w:val="000000"/>
          <w:kern w:val="2"/>
          <w:sz w:val="32"/>
          <w:szCs w:val="32"/>
        </w:rPr>
        <w:t>废水</w:t>
      </w:r>
      <w:r>
        <w:rPr>
          <w:rFonts w:hint="eastAsia" w:ascii="仿宋_GB2312" w:hAnsi="宋体" w:eastAsia="仿宋_GB2312" w:cs="仿宋_GB2312"/>
          <w:color w:val="000000"/>
          <w:kern w:val="2"/>
          <w:sz w:val="32"/>
          <w:szCs w:val="32"/>
        </w:rPr>
        <w:fldChar w:fldCharType="end"/>
      </w:r>
      <w:r>
        <w:rPr>
          <w:rFonts w:hint="eastAsia" w:ascii="仿宋_GB2312" w:hAnsi="宋体" w:eastAsia="仿宋_GB2312" w:cs="仿宋_GB2312"/>
          <w:color w:val="000000"/>
          <w:kern w:val="2"/>
          <w:sz w:val="32"/>
          <w:szCs w:val="32"/>
        </w:rPr>
        <w:t>具有水量大、</w:t>
      </w:r>
      <w:r>
        <w:fldChar w:fldCharType="begin"/>
      </w:r>
      <w:r>
        <w:instrText xml:space="preserve"> HYPERLINK "https://baike.baidu.com/item/ææºæ±¡æç©" \t "https://baike.baidu.com/item/%E5%8D%B0%E6%9F%93%E5%BA%9F%E6%B0%B4%E5%A4%84%E7%90%86%E5%B7%A5%E8%89%BA/_blank" </w:instrText>
      </w:r>
      <w:r>
        <w:fldChar w:fldCharType="separate"/>
      </w:r>
      <w:r>
        <w:rPr>
          <w:rFonts w:hint="eastAsia" w:ascii="仿宋_GB2312" w:hAnsi="宋体" w:eastAsia="仿宋_GB2312" w:cs="仿宋_GB2312"/>
          <w:color w:val="000000"/>
          <w:kern w:val="2"/>
          <w:sz w:val="32"/>
          <w:szCs w:val="32"/>
        </w:rPr>
        <w:t>有机污染物</w:t>
      </w:r>
      <w:r>
        <w:rPr>
          <w:rFonts w:hint="eastAsia" w:ascii="仿宋_GB2312" w:hAnsi="宋体" w:eastAsia="仿宋_GB2312" w:cs="仿宋_GB2312"/>
          <w:color w:val="000000"/>
          <w:kern w:val="2"/>
          <w:sz w:val="32"/>
          <w:szCs w:val="32"/>
        </w:rPr>
        <w:fldChar w:fldCharType="end"/>
      </w:r>
      <w:r>
        <w:rPr>
          <w:rFonts w:hint="eastAsia" w:ascii="仿宋_GB2312" w:hAnsi="宋体" w:eastAsia="仿宋_GB2312" w:cs="仿宋_GB2312"/>
          <w:color w:val="000000"/>
          <w:kern w:val="2"/>
          <w:sz w:val="32"/>
          <w:szCs w:val="32"/>
        </w:rPr>
        <w:t>含量高、碱性强、水质变化大等问题，研究新型旋转水力空化设备内转子诱发空化的产生效率、不同特性参数对有机污染物降解规律的影响，研究高效低噪动平衡单轮式水力空化技术、印染废水中有机物水力空化降解技术。研究协同氧化降解有机物技术，构建更高效、节能的印染废水降解工艺。</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宋体" w:eastAsia="仿宋_GB2312" w:cs="仿宋_GB2312"/>
          <w:color w:val="000000"/>
          <w:kern w:val="2"/>
          <w:sz w:val="32"/>
          <w:szCs w:val="32"/>
        </w:rPr>
        <w:t>研制新型旋转式水力空化印染废水处理设备样机一套：空化转子可实现0-4000rpm变频调速，功率不低于2kw，印染污水中有机物降解率90%以上，污水处理量不小于1t/h，处理后污水达到排放标准。发表高水平论文不少于3篇，申请或授权发明专利不少于2件，培养研究生不少于2人。</w:t>
      </w:r>
    </w:p>
    <w:p>
      <w:pPr>
        <w:widowControl w:val="0"/>
        <w:adjustRightInd/>
        <w:snapToGrid/>
        <w:spacing w:after="0" w:line="580" w:lineRule="exact"/>
        <w:ind w:firstLine="627" w:firstLineChars="196"/>
        <w:jc w:val="both"/>
        <w:rPr>
          <w:rFonts w:ascii="仿宋_GB2312" w:hAnsi="宋体"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宋体"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方向3：</w:t>
      </w:r>
      <w:r>
        <w:rPr>
          <w:rFonts w:hint="eastAsia" w:ascii="仿宋_GB2312" w:hAnsi="宋体" w:eastAsia="仿宋_GB2312" w:cs="仿宋_GB2312"/>
          <w:b/>
          <w:bCs/>
          <w:color w:val="000000"/>
          <w:kern w:val="2"/>
          <w:sz w:val="32"/>
          <w:szCs w:val="32"/>
        </w:rPr>
        <w:t>青岛滩涂特色海洋酵母菌多样性保护研究和资源开发应用</w:t>
      </w:r>
    </w:p>
    <w:p>
      <w:pPr>
        <w:widowControl w:val="0"/>
        <w:adjustRightInd/>
        <w:snapToGrid/>
        <w:spacing w:after="0" w:line="580" w:lineRule="exact"/>
        <w:ind w:firstLine="480"/>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针对海洋生物制造产业的海洋酵母菌菌株资源需求，调查青岛滩涂原位海洋酵母菌的资源，研究人工智能辅助的样本原位海洋酵母菌单细胞分选技术，发掘海洋酵母菌的功能基因、代谢途径和代谢产物资源；构建高版本生产多糖、糖脂、有机酸、单细胞油脂等高值产物的海洋酵母菌细胞工厂；优化提升海洋酵母菌细胞工厂的发酵性能，开发海洋酵母菌新型发酵产品的小试工艺。</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宋体" w:eastAsia="仿宋_GB2312" w:cs="仿宋_GB2312"/>
          <w:color w:val="000000"/>
          <w:kern w:val="2"/>
          <w:sz w:val="32"/>
          <w:szCs w:val="32"/>
        </w:rPr>
        <w:t>采集200个以上的样品；从样本原位筛选纯培养海洋酵母菌株不少于1000株；获得高产多糖、糖脂、有机酸、单细胞油脂的海洋酵母菌细胞工厂不少于5个；开发多糖、糖脂、有机酸、单细胞油脂产品3-5个，并进行中试发酵；申请或授权发明专利不少于3件，发表SCI论文不少于4篇。</w:t>
      </w:r>
    </w:p>
    <w:p>
      <w:pPr>
        <w:widowControl w:val="0"/>
        <w:adjustRightInd/>
        <w:snapToGrid/>
        <w:spacing w:after="0" w:line="580" w:lineRule="exact"/>
        <w:ind w:firstLine="627" w:firstLineChars="196"/>
        <w:jc w:val="both"/>
        <w:rPr>
          <w:rFonts w:ascii="仿宋_GB2312" w:hAnsi="宋体"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宋体"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方向4：</w:t>
      </w:r>
      <w:r>
        <w:rPr>
          <w:rFonts w:hint="eastAsia" w:ascii="仿宋_GB2312" w:hAnsi="宋体" w:eastAsia="仿宋_GB2312" w:cs="仿宋_GB2312"/>
          <w:b/>
          <w:bCs/>
          <w:color w:val="000000"/>
          <w:kern w:val="2"/>
          <w:sz w:val="32"/>
          <w:szCs w:val="32"/>
        </w:rPr>
        <w:t>城镇污水资源化利用技术与应用</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聚焦提升绿色低碳背景下青岛城市污水处理能力与处理效率，研究基于微生物菌剂的生物复合技术、污泥减量化技术，设计生物亲和性载体复合材料，提高微生物降解反应的活性和稳定性，提升污泥内碳源释放与污泥减量、提高污水脱氮除磷能力。</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宋体" w:eastAsia="仿宋_GB2312" w:cs="仿宋_GB2312"/>
          <w:color w:val="000000"/>
          <w:kern w:val="2"/>
          <w:sz w:val="32"/>
          <w:szCs w:val="32"/>
        </w:rPr>
        <w:t>开发生物亲和性载体复合材料不少于2种，提高内碳源释放量20%以上，总氮总磷去除率15%以上，减少剩余污泥产量10%以上；在青岛市2-3处城市污水处理厂进行应用，总应用规模不少于30万吨/天，节省外碳源费及污泥处置费用共计不少于500万元/年，减排CO</w:t>
      </w:r>
      <w:r>
        <w:rPr>
          <w:rFonts w:hint="eastAsia" w:ascii="仿宋_GB2312" w:hAnsi="宋体" w:eastAsia="仿宋_GB2312" w:cs="仿宋_GB2312"/>
          <w:color w:val="000000"/>
          <w:kern w:val="2"/>
          <w:sz w:val="32"/>
          <w:szCs w:val="32"/>
          <w:vertAlign w:val="subscript"/>
        </w:rPr>
        <w:t>2</w:t>
      </w:r>
      <w:r>
        <w:rPr>
          <w:rFonts w:hint="eastAsia" w:ascii="仿宋_GB2312" w:hAnsi="宋体" w:eastAsia="仿宋_GB2312" w:cs="仿宋_GB2312"/>
          <w:color w:val="000000"/>
          <w:kern w:val="2"/>
          <w:sz w:val="32"/>
          <w:szCs w:val="32"/>
        </w:rPr>
        <w:t>量不低于6000吨/年；申请或授权发明专利2-3项，发表SCI论文不少于4篇。</w:t>
      </w:r>
    </w:p>
    <w:p>
      <w:pPr>
        <w:widowControl w:val="0"/>
        <w:adjustRightInd/>
        <w:snapToGrid/>
        <w:spacing w:after="0" w:line="580" w:lineRule="exact"/>
        <w:ind w:firstLine="627" w:firstLineChars="196"/>
        <w:jc w:val="both"/>
        <w:rPr>
          <w:rFonts w:ascii="仿宋_GB2312" w:hAnsi="宋体"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宋体"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方向5：</w:t>
      </w:r>
      <w:r>
        <w:rPr>
          <w:rFonts w:hint="eastAsia" w:ascii="仿宋_GB2312" w:hAnsi="宋体" w:eastAsia="仿宋_GB2312" w:cs="仿宋_GB2312"/>
          <w:b/>
          <w:bCs/>
          <w:color w:val="000000"/>
          <w:kern w:val="2"/>
          <w:sz w:val="32"/>
          <w:szCs w:val="32"/>
        </w:rPr>
        <w:t>封闭空间光催化空气污染治理关键技术研究与示范应用</w:t>
      </w:r>
    </w:p>
    <w:p>
      <w:pPr>
        <w:widowControl w:val="0"/>
        <w:adjustRightInd/>
        <w:snapToGrid/>
        <w:spacing w:after="0" w:line="580" w:lineRule="exact"/>
        <w:ind w:firstLine="480"/>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针对室内、交通工具、隧道等封闭空间存在甲醛等VOCs、氮氧化物、细菌等病原体污染的问题，研究污染物净化技术，优化光催化空气净化处理技术，研究适用于空气污染物净化的低成本光催化剂宏量制备工艺技术、基于密闭空间空气的可见光响应光催化污染控制和深度治理关键技术，研发具有长效性、高耐候性、环保性和高适用性的空气污染治理技术，实现封闭空间空气污染物的高效去除净化，提升空气环境质量。</w:t>
      </w:r>
    </w:p>
    <w:p>
      <w:pPr>
        <w:widowControl w:val="0"/>
        <w:adjustRightInd/>
        <w:snapToGrid/>
        <w:spacing w:after="0" w:line="580" w:lineRule="exact"/>
        <w:ind w:firstLine="646"/>
        <w:jc w:val="both"/>
        <w:outlineLvl w:val="2"/>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宋体" w:eastAsia="仿宋_GB2312" w:cs="仿宋_GB2312"/>
          <w:color w:val="000000"/>
          <w:kern w:val="2"/>
          <w:sz w:val="32"/>
          <w:szCs w:val="32"/>
        </w:rPr>
        <w:t>开发2种高活性低成本非贵金属光催化剂，实现甲醛、甲硫醇、甲苯等VOCs在24小时内的去除率85.0%、大肠杆菌和金黄色葡萄球菌等的抗菌率99.9%以上，在1处封闭空间对1套封闭空间空气深度净化新模式和技术体系进行示范。申请或授权相关发明专利不少于3件，发表相关论文不少于3篇，培养研究生不少于3人。</w:t>
      </w:r>
    </w:p>
    <w:p>
      <w:pPr>
        <w:widowControl w:val="0"/>
        <w:adjustRightInd/>
        <w:snapToGrid/>
        <w:spacing w:after="0" w:line="580" w:lineRule="exact"/>
        <w:ind w:firstLine="646"/>
        <w:jc w:val="both"/>
        <w:outlineLvl w:val="2"/>
        <w:rPr>
          <w:rFonts w:ascii="仿宋_GB2312" w:hAnsi="宋体"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46"/>
        <w:jc w:val="both"/>
        <w:outlineLvl w:val="2"/>
        <w:rPr>
          <w:rFonts w:ascii="仿宋_GB2312" w:hAnsi="宋体" w:eastAsia="仿宋_GB2312" w:cs="仿宋_GB2312"/>
          <w:color w:val="000000"/>
          <w:kern w:val="2"/>
          <w:sz w:val="32"/>
          <w:szCs w:val="32"/>
        </w:rPr>
      </w:pPr>
      <w:r>
        <w:rPr>
          <w:rFonts w:hint="eastAsia" w:ascii="仿宋_GB2312" w:hAnsi="宋体" w:eastAsia="仿宋_GB2312" w:cs="仿宋_GB2312"/>
          <w:b/>
          <w:bCs/>
          <w:color w:val="000000"/>
          <w:kern w:val="2"/>
          <w:sz w:val="32"/>
          <w:szCs w:val="32"/>
        </w:rPr>
        <w:t>4.城市治理</w:t>
      </w:r>
    </w:p>
    <w:p>
      <w:pPr>
        <w:widowControl w:val="0"/>
        <w:adjustRightInd/>
        <w:snapToGrid/>
        <w:spacing w:after="0" w:line="580" w:lineRule="exact"/>
        <w:ind w:firstLine="630" w:firstLineChars="196"/>
        <w:jc w:val="both"/>
        <w:rPr>
          <w:rFonts w:ascii="仿宋_GB2312" w:hAnsi="宋体"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方向1：</w:t>
      </w:r>
      <w:r>
        <w:rPr>
          <w:rFonts w:hint="eastAsia" w:ascii="仿宋_GB2312" w:hAnsi="宋体" w:eastAsia="仿宋_GB2312" w:cs="仿宋_GB2312"/>
          <w:b/>
          <w:bCs/>
          <w:color w:val="000000"/>
          <w:kern w:val="2"/>
          <w:sz w:val="32"/>
          <w:szCs w:val="32"/>
        </w:rPr>
        <w:t>基于空-天-地多源数据融合的森林防火一体化智能监测平台</w:t>
      </w:r>
    </w:p>
    <w:p>
      <w:pPr>
        <w:widowControl w:val="0"/>
        <w:adjustRightInd/>
        <w:snapToGrid/>
        <w:spacing w:after="0" w:line="580" w:lineRule="exact"/>
        <w:ind w:firstLine="630" w:firstLineChars="196"/>
        <w:jc w:val="both"/>
        <w:rPr>
          <w:rFonts w:ascii="仿宋_GB2312" w:hAnsi="宋体"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宋体" w:eastAsia="仿宋_GB2312" w:cs="仿宋_GB2312"/>
          <w:color w:val="000000"/>
          <w:kern w:val="2"/>
          <w:sz w:val="32"/>
          <w:szCs w:val="32"/>
        </w:rPr>
        <w:t>针对严峻的森林防火形势，研究卫星遥感数据收集与处理技术、智能路径规划与优化算法，对地面传感器数据的进行实时采集和预处理，研究无人机智能巡查及任务调度算法，开展空-天-地组网研究，构建空天地不同监测手段监测网体系，实现数据互通互联、一网统管。</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建立空-天-地多源数据融合的森林防火一体化管理服务系统1套，集成2种算法；申请专利不少于2项，发表论文不少于2篇；完成不少于4家应用单位推广；开发科研助理岗位不少于1个。</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方向2：</w:t>
      </w:r>
      <w:r>
        <w:rPr>
          <w:rFonts w:hint="eastAsia" w:ascii="仿宋_GB2312" w:hAnsi="Times New Roman" w:eastAsia="仿宋_GB2312" w:cs="仿宋_GB2312"/>
          <w:b/>
          <w:bCs/>
          <w:color w:val="000000"/>
          <w:kern w:val="2"/>
          <w:sz w:val="32"/>
          <w:szCs w:val="32"/>
        </w:rPr>
        <w:t>幼儿视力快速检测技术研究及示范应用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改善儿童青少年视力状况的迫切需求，针对目前没有适合大规模幼儿视力快速检测设备的问题，基于选择观看法和斜视等部分幼儿高发眼病检查原理，研究开放式环境下的眼动高精度追踪及实时分析、眼部高清图片采集及实时分析等关键技术和部件的产品化。开发出自主知识产权的、对操作人员眼科专业性要求低的便携式幼儿视力快速检测设备。</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开发便携式幼儿视力快速检测设备样机并通过医疗器械注册型式检验，单个视标等级显示和结果输出小于5秒；示范应用10处以上；申请发明专利2项；开发科研助理岗位1个；项目完成后实现营业收入200万元。</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方向3：</w:t>
      </w:r>
      <w:r>
        <w:rPr>
          <w:rFonts w:hint="eastAsia" w:ascii="仿宋_GB2312" w:hAnsi="Times New Roman" w:eastAsia="仿宋_GB2312" w:cs="仿宋_GB2312"/>
          <w:b/>
          <w:bCs/>
          <w:color w:val="000000"/>
          <w:kern w:val="2"/>
          <w:sz w:val="32"/>
          <w:szCs w:val="32"/>
        </w:rPr>
        <w:t>融合数值预报与人工智能方法的台风路径精准预报与应用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分析现场观测数据、卫星观测数据、台风路径数据、再分析数据、预报数据等多源异构数据，研究数据融合方法，研究影响台风路径因素的机制；开发强自适应、高精度、高可靠和高效快速计算的台风路径人工智能预测大模型，对台风路径AI大模型进行验证及评价并进行第三方检验。</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比对不少于3种人工智能算法的计算精度；开发出台风路径AI大模型对未来72小时台风路径的预报均方根误差小于30km；预报耗时在5分钟以内；验证结果需经第三方检验；至少在2处开展示范应用。申请或授权相关发明专利不少于2项、软件著作权不少于3项，发表相关论文不少于6篇，培养研究生不少于5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方向4：</w:t>
      </w:r>
      <w:r>
        <w:rPr>
          <w:rFonts w:hint="eastAsia" w:ascii="仿宋_GB2312" w:hAnsi="Times New Roman" w:eastAsia="仿宋_GB2312" w:cs="仿宋_GB2312"/>
          <w:b/>
          <w:bCs/>
          <w:color w:val="000000"/>
          <w:kern w:val="2"/>
          <w:sz w:val="32"/>
          <w:szCs w:val="32"/>
        </w:rPr>
        <w:t>不同园林植物对大气颗粒物的吸滞作用研究与示范</w:t>
      </w:r>
    </w:p>
    <w:p>
      <w:pPr>
        <w:widowControl w:val="0"/>
        <w:adjustRightInd/>
        <w:snapToGrid/>
        <w:spacing w:after="0" w:line="580" w:lineRule="exact"/>
        <w:ind w:firstLine="48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聚焦城市人居环境品质提升的重大需求，围绕不同园林植物滞尘和光合固碳效益，研究青岛市主要绿化应用的园林植物对不同区域不同粒径颗粒物（</w:t>
      </w:r>
      <w:r>
        <w:rPr>
          <w:rFonts w:ascii="仿宋_GB2312" w:hAnsi="Times New Roman" w:eastAsia="仿宋_GB2312" w:cs="仿宋_GB2312"/>
          <w:color w:val="000000"/>
          <w:kern w:val="2"/>
          <w:sz w:val="32"/>
          <w:szCs w:val="32"/>
        </w:rPr>
        <w:t>TSP、PM10、PM2.5</w:t>
      </w:r>
      <w:r>
        <w:rPr>
          <w:rFonts w:hint="eastAsia" w:ascii="仿宋_GB2312" w:hAnsi="Times New Roman" w:eastAsia="仿宋_GB2312" w:cs="仿宋_GB2312"/>
          <w:color w:val="000000"/>
          <w:kern w:val="2"/>
          <w:sz w:val="32"/>
          <w:szCs w:val="32"/>
        </w:rPr>
        <w:t>）的吸滞作用，确定不同园林植物的滞尘能力和水平；研究不同群落结构（不同的植物配置）的滞尘效益和光合固碳能力的差异，分析滞尘对植物光合固碳能力的影响，筛选出滞尘能力和光合固碳能力均较高的优良植物，获得不同区域园林植物的合理配置模式，并进行示范推广。</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获得滞尘能力和光合固碳效益均较强的园林绿化植物和优化的绿地配置模式一套；申请或授权专利2-3项；发表学术论文不少于2-4篇；培养研究生不少于2-3名；示范面积为800-1000m</w:t>
      </w:r>
      <w:r>
        <w:rPr>
          <w:rFonts w:hint="eastAsia" w:ascii="仿宋_GB2312" w:hAnsi="Times New Roman" w:eastAsia="仿宋_GB2312" w:cs="仿宋_GB2312"/>
          <w:color w:val="000000"/>
          <w:kern w:val="2"/>
          <w:sz w:val="32"/>
          <w:szCs w:val="32"/>
          <w:vertAlign w:val="superscript"/>
        </w:rPr>
        <w:t>2</w:t>
      </w:r>
      <w:r>
        <w:rPr>
          <w:rFonts w:hint="eastAsia" w:ascii="仿宋_GB2312" w:hAnsi="Times New Roman" w:eastAsia="仿宋_GB2312" w:cs="仿宋_GB2312"/>
          <w:color w:val="000000"/>
          <w:kern w:val="2"/>
          <w:sz w:val="32"/>
          <w:szCs w:val="32"/>
        </w:rPr>
        <w:t>。</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方向5：</w:t>
      </w:r>
      <w:r>
        <w:rPr>
          <w:rFonts w:hint="eastAsia" w:ascii="仿宋_GB2312" w:hAnsi="Times New Roman" w:eastAsia="仿宋_GB2312" w:cs="仿宋_GB2312"/>
          <w:b/>
          <w:bCs/>
          <w:color w:val="000000"/>
          <w:kern w:val="2"/>
          <w:sz w:val="32"/>
          <w:szCs w:val="32"/>
        </w:rPr>
        <w:t>稳定同位素和DNA检测技术在即墨北阡先民族群关系中的应用研究</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以即墨北阡遗址中的二次合葬墓为研究对象，研究锶稳定同位素和DNA分析测试技术及在先民的族群结构、社会风俗及社会状况中的应用，测定骨胶原中碳氮稳定同位素数据，分析北阡地区先民饮食结构，研究性别对饮食差异的影响，确定当时的社会经济状况、社会分工及社会等级的影响。</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提出一套依托碳氮稳定同位素研究古人类饮食结构、社会经济状况、社会分工及社会等级的技术和方法；建立一套依托DNA分析技术在古人类聚落结构、族群关系中应用的技术和方法；提交研究报告一份；发表高水平论文5篇。</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方向6：</w:t>
      </w:r>
      <w:r>
        <w:rPr>
          <w:rFonts w:hint="eastAsia" w:ascii="仿宋_GB2312" w:hAnsi="Times New Roman" w:eastAsia="仿宋_GB2312" w:cs="仿宋_GB2312"/>
          <w:b/>
          <w:bCs/>
          <w:color w:val="000000"/>
          <w:kern w:val="2"/>
          <w:sz w:val="32"/>
          <w:szCs w:val="32"/>
        </w:rPr>
        <w:t>城市地下空间病害精准辨识与多视域巡检技术研究</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针对当前城市地下空间病害辨识与巡检面临的技术瓶颈，研究3D立体透视与全景实时成像技术；结合高精度智慧巡检装备，研制基于无人机/车的多视域一体化巡检平台，进行成套设备搭载测试；通过多源异构数据融合实现地下病害的精确辨识，建立地下空间开发过程中病害的精确辨识与快速巡检体系，实现地下空间病害立体化协同巡检。</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研发基于无人机/车的多视域一体化巡检平台1套；申请或授权相关发明专利不少于2项；发表科研论文不少于1篇；培养研究生不少于 2 人。</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46"/>
        <w:jc w:val="both"/>
        <w:outlineLvl w:val="2"/>
        <w:rPr>
          <w:rFonts w:ascii="仿宋_GB2312" w:hAnsi="宋体" w:eastAsia="仿宋_GB2312" w:cs="仿宋_GB2312"/>
          <w:color w:val="000000"/>
          <w:kern w:val="2"/>
          <w:sz w:val="32"/>
          <w:szCs w:val="32"/>
        </w:rPr>
      </w:pPr>
      <w:r>
        <w:rPr>
          <w:rFonts w:hint="eastAsia" w:ascii="仿宋_GB2312" w:hAnsi="宋体" w:eastAsia="仿宋_GB2312" w:cs="仿宋_GB2312"/>
          <w:b/>
          <w:bCs/>
          <w:color w:val="000000"/>
          <w:kern w:val="2"/>
          <w:sz w:val="32"/>
          <w:szCs w:val="32"/>
        </w:rPr>
        <w:t>5.公共安全</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方向1：</w:t>
      </w:r>
      <w:r>
        <w:rPr>
          <w:rFonts w:hint="eastAsia" w:ascii="仿宋_GB2312" w:hAnsi="Times New Roman" w:eastAsia="仿宋_GB2312" w:cs="仿宋_GB2312"/>
          <w:b/>
          <w:bCs/>
          <w:color w:val="000000"/>
          <w:kern w:val="2"/>
          <w:sz w:val="32"/>
          <w:szCs w:val="32"/>
        </w:rPr>
        <w:t>基于风险演化的重点人员犯罪风险评估与预警防范关键技术研究</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总体国家安全观下的社会维稳需求，以危害社会稳定的高风险人员为目标，研究高风险人员高风险人员精准识别技术、复杂心理范式及违法犯罪行为意图识别技术与装备；研究基于社会动态情境下的犯罪风险评估与演化技术；研发一体化全流程高风险人员犯罪预警防范综合支撑平台。</w:t>
      </w:r>
    </w:p>
    <w:p>
      <w:pPr>
        <w:widowControl w:val="0"/>
        <w:adjustRightInd/>
        <w:snapToGrid/>
        <w:spacing w:after="0" w:line="580" w:lineRule="exact"/>
        <w:ind w:firstLine="48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构建不少于3种易肇事肇祸风险群体的多维度数字画像，研发出心理范式评估和潜在行为意图识别的智能终端装备，传感器不少于8种，客观心理评估准确率不低于85%，潜在犯罪行为评估准确率不低于85%；风险评估准确率不低于 85% ；研发一体化全流程重点人员犯罪预警防范综合支撑平台一套，申请发明专利2项，申请软件著作权2项，发表高水平论文2篇，培养研究生不少于 3 人。</w:t>
      </w:r>
    </w:p>
    <w:p>
      <w:pPr>
        <w:widowControl w:val="0"/>
        <w:adjustRightInd/>
        <w:snapToGrid/>
        <w:spacing w:after="0" w:line="580" w:lineRule="exact"/>
        <w:ind w:firstLine="480"/>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 xml:space="preserve"> 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方向2：</w:t>
      </w:r>
      <w:r>
        <w:rPr>
          <w:rFonts w:hint="eastAsia" w:ascii="仿宋_GB2312" w:hAnsi="Times New Roman" w:eastAsia="仿宋_GB2312" w:cs="仿宋_GB2312"/>
          <w:b/>
          <w:bCs/>
          <w:color w:val="000000"/>
          <w:kern w:val="2"/>
          <w:sz w:val="32"/>
          <w:szCs w:val="32"/>
        </w:rPr>
        <w:t>新精神活性物质快速检测技术及设备的研发和应用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针对新精神活性物质的滥用情况，选择依托咪酯、芬太尼、γ﹣羟基丁酸、曲马多和右美沙芬等新精神活性物质为研究对象，通过实验室模拟和实际环境样品分析，明确其代谢中间产物和代谢路径，研究不同时间尺度和空间区域尺度下的新精神活性物质滥用状况评估技术，开发新精神活性物质的快速检测技术和设备。</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开发依托咪酯、芬太尼、γ﹣羟基丁酸、曲马多和右美沙芬快速分析方法数据包各1套，适用于污水等复杂基质的新精神活性物质快速富集装置100套，在2处以上应用示范；建立青岛市新精神活性物质滥用评估方法一套并在主管部门应用；申请发明专利2项，申请或授权实用新型专利2项。发表文章2篇，培养研究生2名。</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42"/>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方向3：</w:t>
      </w:r>
      <w:r>
        <w:rPr>
          <w:rFonts w:hint="eastAsia" w:ascii="仿宋_GB2312" w:hAnsi="Times New Roman" w:eastAsia="仿宋_GB2312" w:cs="仿宋_GB2312"/>
          <w:b/>
          <w:bCs/>
          <w:color w:val="000000"/>
          <w:kern w:val="2"/>
          <w:sz w:val="32"/>
          <w:szCs w:val="32"/>
        </w:rPr>
        <w:t>城市居民燃气安全关键技术研发及应用</w:t>
      </w:r>
    </w:p>
    <w:p>
      <w:pPr>
        <w:widowControl w:val="0"/>
        <w:adjustRightInd/>
        <w:snapToGrid/>
        <w:spacing w:after="0" w:line="580" w:lineRule="exact"/>
        <w:ind w:firstLine="642"/>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rPr>
        <w:t>研究内容</w:t>
      </w:r>
      <w:r>
        <w:rPr>
          <w:rFonts w:hint="eastAsia" w:ascii="仿宋_GB2312" w:hAnsi="Times New Roman" w:eastAsia="仿宋_GB2312" w:cs="仿宋_GB2312"/>
          <w:color w:val="000000"/>
          <w:kern w:val="2"/>
          <w:sz w:val="32"/>
          <w:szCs w:val="32"/>
        </w:rPr>
        <w:t>：聚焦城市居民燃气安全需求，针对燃气安全治理事前预防方向，搭建数字化的城市居民燃气安全全生命周期服务和管理平台，开展高精度燃气表计量技术和微泄漏监测技术的深度研究，解决居民应用场景下异常数据事前预警判别，提升城市燃气使用的整体安全性，降低燃气事故的发生率，推动城市居民燃气使用安全性和智能化发展。</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建立一套燃气全过程运行信息数智化平台，服务城市居民燃气用户不少于100万户，稳定运行时间不低于1000小时，微泄漏检测技术灵敏度达到5×10</w:t>
      </w:r>
      <w:r>
        <w:rPr>
          <w:rFonts w:hint="eastAsia" w:ascii="仿宋_GB2312" w:hAnsi="Times New Roman" w:eastAsia="仿宋_GB2312" w:cs="仿宋_GB2312"/>
          <w:color w:val="000000"/>
          <w:kern w:val="2"/>
          <w:sz w:val="32"/>
          <w:szCs w:val="32"/>
          <w:vertAlign w:val="superscript"/>
        </w:rPr>
        <w:t>-7</w:t>
      </w:r>
      <w:r>
        <w:rPr>
          <w:rFonts w:hint="eastAsia" w:ascii="仿宋_GB2312" w:hAnsi="Times New Roman" w:eastAsia="仿宋_GB2312" w:cs="仿宋_GB2312"/>
          <w:color w:val="000000"/>
          <w:kern w:val="2"/>
          <w:sz w:val="32"/>
          <w:szCs w:val="32"/>
        </w:rPr>
        <w:t>m</w:t>
      </w:r>
      <w:r>
        <w:rPr>
          <w:rFonts w:hint="eastAsia" w:ascii="仿宋_GB2312" w:hAnsi="Times New Roman" w:eastAsia="仿宋_GB2312" w:cs="仿宋_GB2312"/>
          <w:color w:val="000000"/>
          <w:kern w:val="2"/>
          <w:sz w:val="32"/>
          <w:szCs w:val="32"/>
          <w:vertAlign w:val="superscript"/>
        </w:rPr>
        <w:t>3</w:t>
      </w:r>
      <w:r>
        <w:rPr>
          <w:rFonts w:hint="eastAsia" w:ascii="仿宋_GB2312" w:hAnsi="Times New Roman" w:eastAsia="仿宋_GB2312" w:cs="仿宋_GB2312"/>
          <w:color w:val="000000"/>
          <w:kern w:val="2"/>
          <w:sz w:val="32"/>
          <w:szCs w:val="32"/>
        </w:rPr>
        <w:t>/h，有效识别微小泄漏，误报率低于1%；申请发明专利不少于2项、软件著作权不少于3项；在不少于3个区（市）开展示范应用。</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拟支持项目1项，支持额度不超过12</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方向4：</w:t>
      </w:r>
      <w:r>
        <w:rPr>
          <w:rFonts w:hint="eastAsia" w:ascii="仿宋_GB2312" w:hAnsi="Times New Roman" w:eastAsia="仿宋_GB2312" w:cs="仿宋_GB2312"/>
          <w:b/>
          <w:bCs/>
          <w:color w:val="000000"/>
          <w:kern w:val="2"/>
          <w:sz w:val="32"/>
          <w:szCs w:val="32"/>
        </w:rPr>
        <w:t>城市电梯安全在线监测技术开发及应用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研究不同励磁器励磁方式、各部分结构尺寸、磁性材料特性、钢丝绳结构规格与钢丝绳内部磁场强度及其分布特征之间的耦合关系；研究基于同态高斯滤波、纹理检测、形态学运算与霍夫变换的钢丝绳图像位姿调整算法；研究基于滑动窗口与小波阈值变换的钢丝绳损伤信号自适应快速提取算法和新型高精度漏磁无损探伤技术。研制漏磁感知装置，开发基于数据驱动的钢丝绳损伤状态在线辨识系统。</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建立电梯的钢丝绳在线监测系统1套，钢丝绳损伤点定位准确率≥95%，捻距断丝数量误差＜1丝，界面损伤率达到报废上限40%以上、检出率100%，应用示范2处以上。申请发明专利不少于3项，软件著作权不少于2项，发表学术论文不少于2篇。</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方向5：</w:t>
      </w:r>
      <w:r>
        <w:rPr>
          <w:rFonts w:hint="eastAsia" w:ascii="仿宋_GB2312" w:hAnsi="Times New Roman" w:eastAsia="仿宋_GB2312" w:cs="仿宋_GB2312"/>
          <w:b/>
          <w:bCs/>
          <w:color w:val="000000"/>
          <w:kern w:val="2"/>
          <w:sz w:val="32"/>
          <w:szCs w:val="32"/>
        </w:rPr>
        <w:t>跨境食品消费品中新污染物甄别技术及暴露评价的研究与应用</w:t>
      </w:r>
    </w:p>
    <w:p>
      <w:pPr>
        <w:widowControl w:val="0"/>
        <w:adjustRightInd/>
        <w:snapToGrid/>
        <w:spacing w:after="0" w:line="580" w:lineRule="exact"/>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 xml:space="preserve">    研究内容：</w:t>
      </w:r>
      <w:r>
        <w:rPr>
          <w:rFonts w:hint="eastAsia" w:ascii="仿宋_GB2312" w:hAnsi="Times New Roman" w:eastAsia="仿宋_GB2312" w:cs="仿宋_GB2312"/>
          <w:color w:val="000000"/>
          <w:kern w:val="2"/>
          <w:sz w:val="32"/>
          <w:szCs w:val="32"/>
        </w:rPr>
        <w:t>针对跨境食品消费品中新污染物赋存状况不清，人群暴露风险不明的问题，基于色谱质谱等多谱学技术，开展牛羊肉、水产品、大宗粮食、婴童用品等重点商品中全氟多氟化合物、有机磷酸酯等新污染物的高通量侦测和未知物筛查技术研究。开展产地、国别、成分等食品消费品品质大数据关联性分析研究和涉及敏感人群的典型暴露场景的风险评价研究。实现化学危害风险高效精准识别，保障食品消费品质量安全和人体健康安全。</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研发新污染物靶向分析技术3项以上，分析化合物通量总量不低于200种，研发新污染物非靶向筛查鉴定技术2项，筛查总通量不低于1000种、鉴定新污染物总计不低于50种。建立跨境食品消费品500种以上新污染物的质谱特征数据库。申请或授权发明专利不少于2项，制定国家或行业标准不少于3项。发表高水平论文不少于5篇，培养研究生不少于3人。在3个出入境口岸进行应用示范，服务保障跨境食品消费品不低于3000批次。</w:t>
      </w:r>
    </w:p>
    <w:p>
      <w:pPr>
        <w:widowControl w:val="0"/>
        <w:adjustRightInd/>
        <w:snapToGrid/>
        <w:spacing w:after="0" w:line="580" w:lineRule="exact"/>
        <w:ind w:firstLine="627" w:firstLineChars="196"/>
        <w:jc w:val="both"/>
        <w:rPr>
          <w:rFonts w:ascii="仿宋_GB2312" w:hAnsi="Times New Roman" w:eastAsia="仿宋_GB2312" w:cs="仿宋_GB2312"/>
          <w:color w:val="000000"/>
          <w:kern w:val="2"/>
          <w:sz w:val="32"/>
          <w:szCs w:val="3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30" w:firstLineChars="196"/>
        <w:jc w:val="both"/>
        <w:rPr>
          <w:rFonts w:ascii="仿宋_GB2312" w:hAnsi="Times New Roman" w:eastAsia="仿宋_GB2312" w:cs="仿宋_GB2312"/>
          <w:b/>
          <w:bCs/>
          <w:color w:val="000000"/>
          <w:kern w:val="2"/>
          <w:sz w:val="32"/>
          <w:szCs w:val="32"/>
        </w:rPr>
      </w:pPr>
      <w:r>
        <w:rPr>
          <w:rFonts w:hint="eastAsia" w:ascii="仿宋_GB2312" w:hAnsi="Times New Roman" w:eastAsia="仿宋_GB2312" w:cs="仿宋_GB2312"/>
          <w:b/>
          <w:color w:val="000000"/>
          <w:kern w:val="2"/>
          <w:sz w:val="32"/>
          <w:szCs w:val="32"/>
        </w:rPr>
        <w:t>方向6：</w:t>
      </w:r>
      <w:r>
        <w:rPr>
          <w:rFonts w:hint="eastAsia" w:ascii="仿宋_GB2312" w:hAnsi="Times New Roman" w:eastAsia="仿宋_GB2312" w:cs="仿宋_GB2312"/>
          <w:b/>
          <w:bCs/>
          <w:color w:val="000000"/>
          <w:kern w:val="2"/>
          <w:sz w:val="32"/>
          <w:szCs w:val="32"/>
        </w:rPr>
        <w:t>面向垂域大模型的公安警务智能体系统关键技术研究与应用示范</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研究内容：</w:t>
      </w:r>
      <w:r>
        <w:rPr>
          <w:rFonts w:hint="eastAsia" w:ascii="仿宋_GB2312" w:hAnsi="Times New Roman" w:eastAsia="仿宋_GB2312" w:cs="仿宋_GB2312"/>
          <w:color w:val="000000"/>
          <w:kern w:val="2"/>
          <w:sz w:val="32"/>
          <w:szCs w:val="32"/>
        </w:rPr>
        <w:t>聚焦智慧公安警务实战需求，研究基于大模型的公安警务智能技：包含70亿参数量级公安垂域大模型训练、大模型量化推理部署、智能体多模态感知技术、智能体RAG检索增强技术和高性能公安知识向量数据库。实现数字证书查询、警务法规问答、查询检索布控、线索报告生成以及技战法推荐等功能。</w:t>
      </w:r>
    </w:p>
    <w:p>
      <w:pPr>
        <w:widowControl w:val="0"/>
        <w:adjustRightInd/>
        <w:snapToGrid/>
        <w:spacing w:after="0" w:line="580" w:lineRule="exact"/>
        <w:ind w:firstLine="630" w:firstLineChars="196"/>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b/>
          <w:color w:val="000000"/>
          <w:kern w:val="2"/>
          <w:sz w:val="32"/>
          <w:szCs w:val="32"/>
        </w:rPr>
        <w:t>考核指标：</w:t>
      </w:r>
      <w:r>
        <w:rPr>
          <w:rFonts w:hint="eastAsia" w:ascii="仿宋_GB2312" w:hAnsi="Times New Roman" w:eastAsia="仿宋_GB2312" w:cs="仿宋_GB2312"/>
          <w:color w:val="000000"/>
          <w:kern w:val="2"/>
          <w:sz w:val="32"/>
          <w:szCs w:val="32"/>
        </w:rPr>
        <w:t>构建警务智能体推理引擎系统，具备多模态感知、RAG检索增强和高性能向量数据库能力；智能体系统支持5项以上公安警务业务分析研判；智能体系统支持人机信息交互，覆盖下指令、条件查询、确认指令、响应反馈等功能，准确率≥90%；在青岛市公安局内部完成公安警务智能体部署并进行示范应用；申请（或授权）发明专利不少于5项；参与研制团体标准不少于1件。</w:t>
      </w:r>
    </w:p>
    <w:p>
      <w:pPr>
        <w:shd w:val="clear" w:color="auto" w:fill="FFFFFF"/>
        <w:spacing w:after="0" w:line="580" w:lineRule="exact"/>
        <w:ind w:firstLine="640" w:firstLineChars="200"/>
        <w:rPr>
          <w:rStyle w:val="9"/>
          <w:rFonts w:ascii="仿宋_GB2312" w:eastAsia="仿宋_GB2312" w:cs="Calibri"/>
          <w:kern w:val="2"/>
        </w:rPr>
      </w:pPr>
      <w:r>
        <w:rPr>
          <w:rStyle w:val="9"/>
          <w:rFonts w:hint="eastAsia" w:ascii="仿宋_GB2312" w:eastAsia="仿宋_GB2312" w:cs="Calibri"/>
          <w:kern w:val="2"/>
        </w:rPr>
        <w:t>拟支持项目1项，支持额度不超过4</w:t>
      </w:r>
      <w:r>
        <w:rPr>
          <w:rStyle w:val="9"/>
          <w:rFonts w:ascii="仿宋_GB2312" w:eastAsia="仿宋_GB2312" w:cs="Calibri"/>
          <w:kern w:val="2"/>
        </w:rPr>
        <w:t>0</w:t>
      </w:r>
      <w:r>
        <w:rPr>
          <w:rStyle w:val="9"/>
          <w:rFonts w:hint="eastAsia" w:ascii="仿宋_GB2312" w:eastAsia="仿宋_GB2312" w:cs="Calibri"/>
          <w:kern w:val="2"/>
        </w:rPr>
        <w:t>万元。</w:t>
      </w:r>
    </w:p>
    <w:p>
      <w:pPr>
        <w:widowControl w:val="0"/>
        <w:adjustRightInd/>
        <w:snapToGrid/>
        <w:spacing w:after="0" w:line="58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（三）现代农业领域</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1.现代种业</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1</w:t>
      </w:r>
      <w:r>
        <w:rPr>
          <w:rFonts w:hint="eastAsia" w:ascii="仿宋_GB2312" w:hAnsi="宋体" w:eastAsia="仿宋_GB2312" w:cs="楷体_GB2312"/>
          <w:b/>
          <w:kern w:val="2"/>
          <w:sz w:val="32"/>
          <w:szCs w:val="32"/>
        </w:rPr>
        <w:t>：植物干细胞和人工种子技术的研究及应用示范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ascii="仿宋_GB2312" w:hAnsi="宋体" w:eastAsia="仿宋_GB2312" w:cs="楷体_GB2312"/>
          <w:b/>
          <w:kern w:val="2"/>
          <w:sz w:val="32"/>
          <w:szCs w:val="32"/>
        </w:rPr>
        <w:t>研究内容：</w:t>
      </w:r>
      <w:r>
        <w:rPr>
          <w:rFonts w:ascii="仿宋_GB2312" w:hAnsi="宋体" w:eastAsia="仿宋_GB2312" w:cs="楷体_GB2312"/>
          <w:bCs/>
          <w:kern w:val="2"/>
          <w:sz w:val="32"/>
          <w:szCs w:val="32"/>
        </w:rPr>
        <w:t>针对国外种源垄断及盐碱地</w:t>
      </w:r>
      <w:r>
        <w:rPr>
          <w:rFonts w:hint="eastAsia" w:ascii="仿宋_GB2312" w:hAnsi="宋体" w:eastAsia="仿宋_GB2312" w:cs="楷体_GB2312"/>
          <w:bCs/>
          <w:kern w:val="2"/>
          <w:sz w:val="32"/>
          <w:szCs w:val="32"/>
        </w:rPr>
        <w:t>利用难等</w:t>
      </w:r>
      <w:r>
        <w:rPr>
          <w:rFonts w:ascii="仿宋_GB2312" w:hAnsi="宋体" w:eastAsia="仿宋_GB2312" w:cs="楷体_GB2312"/>
          <w:bCs/>
          <w:kern w:val="2"/>
          <w:sz w:val="32"/>
          <w:szCs w:val="32"/>
        </w:rPr>
        <w:t>问题，</w:t>
      </w:r>
      <w:r>
        <w:rPr>
          <w:rFonts w:hint="eastAsia" w:ascii="仿宋_GB2312" w:hAnsi="宋体" w:eastAsia="仿宋_GB2312" w:cs="楷体_GB2312"/>
          <w:bCs/>
          <w:kern w:val="2"/>
          <w:sz w:val="32"/>
          <w:szCs w:val="32"/>
        </w:rPr>
        <w:t>运用</w:t>
      </w:r>
      <w:r>
        <w:rPr>
          <w:rFonts w:ascii="仿宋_GB2312" w:hAnsi="宋体" w:eastAsia="仿宋_GB2312" w:cs="楷体_GB2312"/>
          <w:bCs/>
          <w:kern w:val="2"/>
          <w:sz w:val="32"/>
          <w:szCs w:val="32"/>
        </w:rPr>
        <w:t>植物干细胞和人工种子技术，开展植物干细胞获取、鉴定、建库、扩培、诱导等基础研究及植物干细胞胚诱导、人工胚乳构建、人工种子改良、人工种子应用研究，建立植物细胞种质资源库、人工种子培育体系，培育具有高产、抗盐碱、抗逆的人工种子，</w:t>
      </w:r>
      <w:r>
        <w:rPr>
          <w:rFonts w:hint="eastAsia" w:ascii="仿宋_GB2312" w:hAnsi="宋体" w:eastAsia="仿宋_GB2312" w:cs="楷体_GB2312"/>
          <w:bCs/>
          <w:kern w:val="2"/>
          <w:sz w:val="32"/>
          <w:szCs w:val="32"/>
        </w:rPr>
        <w:t>助力我市</w:t>
      </w:r>
      <w:r>
        <w:rPr>
          <w:rFonts w:ascii="仿宋_GB2312" w:hAnsi="宋体" w:eastAsia="仿宋_GB2312" w:cs="楷体_GB2312"/>
          <w:bCs/>
          <w:kern w:val="2"/>
          <w:sz w:val="32"/>
          <w:szCs w:val="32"/>
        </w:rPr>
        <w:t>新型植物细胞产业与新型种子产业</w:t>
      </w:r>
      <w:r>
        <w:rPr>
          <w:rFonts w:hint="eastAsia" w:ascii="仿宋_GB2312" w:hAnsi="宋体" w:eastAsia="仿宋_GB2312" w:cs="楷体_GB2312"/>
          <w:bCs/>
          <w:kern w:val="2"/>
          <w:sz w:val="32"/>
          <w:szCs w:val="32"/>
        </w:rPr>
        <w:t>发展</w:t>
      </w:r>
      <w:r>
        <w:rPr>
          <w:rFonts w:ascii="仿宋_GB2312" w:hAnsi="宋体" w:eastAsia="仿宋_GB2312" w:cs="楷体_GB2312"/>
          <w:bCs/>
          <w:kern w:val="2"/>
          <w:sz w:val="32"/>
          <w:szCs w:val="32"/>
        </w:rPr>
        <w:t>，</w:t>
      </w:r>
      <w:r>
        <w:rPr>
          <w:rFonts w:hint="eastAsia" w:ascii="仿宋_GB2312" w:hAnsi="宋体" w:eastAsia="仿宋_GB2312" w:cs="楷体_GB2312"/>
          <w:bCs/>
          <w:kern w:val="2"/>
          <w:sz w:val="32"/>
          <w:szCs w:val="32"/>
        </w:rPr>
        <w:t>突</w:t>
      </w:r>
      <w:r>
        <w:rPr>
          <w:rFonts w:ascii="仿宋_GB2312" w:hAnsi="宋体" w:eastAsia="仿宋_GB2312" w:cs="楷体_GB2312"/>
          <w:bCs/>
          <w:kern w:val="2"/>
          <w:sz w:val="32"/>
          <w:szCs w:val="32"/>
        </w:rPr>
        <w:t>破国外种源</w:t>
      </w:r>
      <w:r>
        <w:rPr>
          <w:rFonts w:hint="eastAsia" w:ascii="仿宋_GB2312" w:hAnsi="宋体" w:eastAsia="仿宋_GB2312" w:cs="楷体_GB2312"/>
          <w:bCs/>
          <w:kern w:val="2"/>
          <w:sz w:val="32"/>
          <w:szCs w:val="32"/>
        </w:rPr>
        <w:t>技术</w:t>
      </w:r>
      <w:r>
        <w:rPr>
          <w:rFonts w:ascii="仿宋_GB2312" w:hAnsi="宋体" w:eastAsia="仿宋_GB2312" w:cs="楷体_GB2312"/>
          <w:bCs/>
          <w:kern w:val="2"/>
          <w:sz w:val="32"/>
          <w:szCs w:val="32"/>
        </w:rPr>
        <w:t>垄断</w:t>
      </w:r>
      <w:r>
        <w:rPr>
          <w:rFonts w:hint="eastAsia" w:ascii="仿宋_GB2312" w:hAnsi="宋体" w:eastAsia="仿宋_GB2312" w:cs="楷体_GB2312"/>
          <w:bCs/>
          <w:kern w:val="2"/>
          <w:sz w:val="32"/>
          <w:szCs w:val="32"/>
        </w:rPr>
        <w:t>，强化我市</w:t>
      </w:r>
      <w:r>
        <w:rPr>
          <w:rFonts w:ascii="仿宋_GB2312" w:hAnsi="宋体" w:eastAsia="仿宋_GB2312" w:cs="楷体_GB2312"/>
          <w:bCs/>
          <w:kern w:val="2"/>
          <w:sz w:val="32"/>
          <w:szCs w:val="32"/>
        </w:rPr>
        <w:t>盐碱地</w:t>
      </w:r>
      <w:r>
        <w:rPr>
          <w:rFonts w:hint="eastAsia" w:ascii="仿宋_GB2312" w:hAnsi="宋体" w:eastAsia="仿宋_GB2312" w:cs="楷体_GB2312"/>
          <w:bCs/>
          <w:kern w:val="2"/>
          <w:sz w:val="32"/>
          <w:szCs w:val="32"/>
        </w:rPr>
        <w:t>综合</w:t>
      </w:r>
      <w:r>
        <w:rPr>
          <w:rFonts w:ascii="仿宋_GB2312" w:hAnsi="宋体" w:eastAsia="仿宋_GB2312" w:cs="楷体_GB2312"/>
          <w:bCs/>
          <w:kern w:val="2"/>
          <w:sz w:val="32"/>
          <w:szCs w:val="32"/>
        </w:rPr>
        <w:t>利用</w:t>
      </w:r>
      <w:r>
        <w:rPr>
          <w:rFonts w:hint="eastAsia" w:ascii="仿宋_GB2312" w:hAnsi="宋体" w:eastAsia="仿宋_GB2312" w:cs="楷体_GB2312"/>
          <w:bCs/>
          <w:kern w:val="2"/>
          <w:sz w:val="32"/>
          <w:szCs w:val="32"/>
        </w:rPr>
        <w:t>能力</w:t>
      </w:r>
      <w:r>
        <w:rPr>
          <w:rFonts w:ascii="仿宋_GB2312" w:hAnsi="宋体" w:eastAsia="仿宋_GB2312" w:cs="楷体_GB2312"/>
          <w:bCs/>
          <w:kern w:val="2"/>
          <w:sz w:val="32"/>
          <w:szCs w:val="32"/>
        </w:rPr>
        <w:t>。</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获取人参等药用植物干细胞不少于3种，红薯等粮食作物干细胞不少于3种，葡萄等水果植物干细胞不少于3种，荷花等观赏花卉植物干细胞不少于3种，</w:t>
      </w:r>
      <w:r>
        <w:rPr>
          <w:rFonts w:ascii="仿宋_GB2312" w:hAnsi="宋体" w:eastAsia="仿宋_GB2312" w:cs="楷体_GB2312"/>
          <w:bCs/>
          <w:kern w:val="2"/>
          <w:sz w:val="32"/>
          <w:szCs w:val="32"/>
        </w:rPr>
        <w:t>建立</w:t>
      </w:r>
      <w:r>
        <w:rPr>
          <w:rFonts w:hint="eastAsia" w:ascii="仿宋_GB2312" w:hAnsi="宋体" w:eastAsia="仿宋_GB2312" w:cs="楷体_GB2312"/>
          <w:bCs/>
          <w:kern w:val="2"/>
          <w:sz w:val="32"/>
          <w:szCs w:val="32"/>
        </w:rPr>
        <w:t>并完善</w:t>
      </w:r>
      <w:r>
        <w:rPr>
          <w:rFonts w:ascii="仿宋_GB2312" w:hAnsi="宋体" w:eastAsia="仿宋_GB2312" w:cs="楷体_GB2312"/>
          <w:bCs/>
          <w:kern w:val="2"/>
          <w:sz w:val="32"/>
          <w:szCs w:val="32"/>
        </w:rPr>
        <w:t>植物干细胞种质资源库及数据库</w:t>
      </w:r>
      <w:r>
        <w:rPr>
          <w:rFonts w:hint="eastAsia" w:ascii="仿宋_GB2312" w:hAnsi="宋体" w:eastAsia="仿宋_GB2312" w:cs="楷体_GB2312"/>
          <w:bCs/>
          <w:kern w:val="2"/>
          <w:sz w:val="32"/>
          <w:szCs w:val="32"/>
        </w:rPr>
        <w:t>；</w:t>
      </w:r>
      <w:r>
        <w:rPr>
          <w:rFonts w:ascii="仿宋_GB2312" w:hAnsi="宋体" w:eastAsia="仿宋_GB2312" w:cs="楷体_GB2312"/>
          <w:bCs/>
          <w:kern w:val="2"/>
          <w:sz w:val="32"/>
          <w:szCs w:val="32"/>
        </w:rPr>
        <w:t>建立工厂化大型植物干细胞扩培系统</w:t>
      </w:r>
      <w:r>
        <w:rPr>
          <w:rFonts w:hint="eastAsia" w:ascii="仿宋_GB2312" w:hAnsi="宋体" w:eastAsia="仿宋_GB2312" w:cs="楷体_GB2312"/>
          <w:bCs/>
          <w:kern w:val="2"/>
          <w:sz w:val="32"/>
          <w:szCs w:val="32"/>
        </w:rPr>
        <w:t>1套</w:t>
      </w:r>
      <w:r>
        <w:rPr>
          <w:rFonts w:ascii="仿宋_GB2312" w:hAnsi="宋体" w:eastAsia="仿宋_GB2312" w:cs="楷体_GB2312"/>
          <w:bCs/>
          <w:kern w:val="2"/>
          <w:sz w:val="32"/>
          <w:szCs w:val="32"/>
        </w:rPr>
        <w:t>，</w:t>
      </w:r>
      <w:r>
        <w:rPr>
          <w:rFonts w:hint="eastAsia" w:ascii="仿宋_GB2312" w:hAnsi="宋体" w:eastAsia="仿宋_GB2312" w:cs="楷体_GB2312"/>
          <w:bCs/>
          <w:kern w:val="2"/>
          <w:sz w:val="32"/>
          <w:szCs w:val="32"/>
        </w:rPr>
        <w:t>具备</w:t>
      </w:r>
      <w:r>
        <w:rPr>
          <w:rFonts w:hint="eastAsia" w:ascii="仿宋_GB2312" w:hAnsi="仿宋_GB2312" w:eastAsia="仿宋_GB2312" w:cs="仿宋_GB2312"/>
          <w:kern w:val="2"/>
          <w:sz w:val="32"/>
          <w:szCs w:val="32"/>
        </w:rPr>
        <w:t>50L至5000L递级培养能力，开发</w:t>
      </w:r>
      <w:r>
        <w:rPr>
          <w:rFonts w:ascii="仿宋_GB2312" w:hAnsi="宋体" w:eastAsia="仿宋_GB2312" w:cs="楷体_GB2312"/>
          <w:bCs/>
          <w:kern w:val="2"/>
          <w:sz w:val="32"/>
          <w:szCs w:val="32"/>
        </w:rPr>
        <w:t>人参、石斛干细胞等产品2-3种</w:t>
      </w:r>
      <w:r>
        <w:rPr>
          <w:rFonts w:hint="eastAsia" w:ascii="仿宋_GB2312" w:hAnsi="宋体" w:eastAsia="仿宋_GB2312" w:cs="楷体_GB2312"/>
          <w:bCs/>
          <w:kern w:val="2"/>
          <w:sz w:val="32"/>
          <w:szCs w:val="32"/>
        </w:rPr>
        <w:t>；</w:t>
      </w:r>
      <w:r>
        <w:rPr>
          <w:rFonts w:ascii="仿宋_GB2312" w:hAnsi="宋体" w:eastAsia="仿宋_GB2312" w:cs="楷体_GB2312"/>
          <w:bCs/>
          <w:kern w:val="2"/>
          <w:sz w:val="32"/>
          <w:szCs w:val="32"/>
        </w:rPr>
        <w:t>建立小麦、红薯、花生人工种子培养体系各1套，</w:t>
      </w:r>
      <w:r>
        <w:rPr>
          <w:rFonts w:hint="eastAsia" w:ascii="仿宋_GB2312" w:hAnsi="宋体" w:eastAsia="仿宋_GB2312" w:cs="楷体_GB2312"/>
          <w:bCs/>
          <w:kern w:val="2"/>
          <w:sz w:val="32"/>
          <w:szCs w:val="32"/>
        </w:rPr>
        <w:t>制备</w:t>
      </w:r>
      <w:r>
        <w:rPr>
          <w:rFonts w:ascii="仿宋_GB2312" w:hAnsi="宋体" w:eastAsia="仿宋_GB2312" w:cs="楷体_GB2312"/>
          <w:bCs/>
          <w:kern w:val="2"/>
          <w:sz w:val="32"/>
          <w:szCs w:val="32"/>
        </w:rPr>
        <w:t>小麦</w:t>
      </w:r>
      <w:r>
        <w:rPr>
          <w:rFonts w:hint="eastAsia" w:ascii="仿宋_GB2312" w:hAnsi="宋体" w:eastAsia="仿宋_GB2312" w:cs="楷体_GB2312"/>
          <w:bCs/>
          <w:kern w:val="2"/>
          <w:sz w:val="32"/>
          <w:szCs w:val="32"/>
        </w:rPr>
        <w:t>、</w:t>
      </w:r>
      <w:r>
        <w:rPr>
          <w:rFonts w:ascii="仿宋_GB2312" w:hAnsi="宋体" w:eastAsia="仿宋_GB2312" w:cs="楷体_GB2312"/>
          <w:bCs/>
          <w:kern w:val="2"/>
          <w:sz w:val="32"/>
          <w:szCs w:val="32"/>
        </w:rPr>
        <w:t>红薯</w:t>
      </w:r>
      <w:r>
        <w:rPr>
          <w:rFonts w:hint="eastAsia" w:ascii="仿宋_GB2312" w:hAnsi="宋体" w:eastAsia="仿宋_GB2312" w:cs="楷体_GB2312"/>
          <w:bCs/>
          <w:kern w:val="2"/>
          <w:sz w:val="32"/>
          <w:szCs w:val="32"/>
        </w:rPr>
        <w:t>和抗盐碱花生</w:t>
      </w:r>
      <w:r>
        <w:rPr>
          <w:rFonts w:ascii="仿宋_GB2312" w:hAnsi="宋体" w:eastAsia="仿宋_GB2312" w:cs="楷体_GB2312"/>
          <w:bCs/>
          <w:kern w:val="2"/>
          <w:sz w:val="32"/>
          <w:szCs w:val="32"/>
        </w:rPr>
        <w:t>人工种子各1种，完成实验田种植试验</w:t>
      </w:r>
      <w:r>
        <w:rPr>
          <w:rFonts w:hint="eastAsia" w:ascii="仿宋_GB2312" w:hAnsi="宋体" w:eastAsia="仿宋_GB2312" w:cs="楷体_GB2312"/>
          <w:bCs/>
          <w:kern w:val="2"/>
          <w:sz w:val="32"/>
          <w:szCs w:val="32"/>
        </w:rPr>
        <w:t>；至少1种人工</w:t>
      </w:r>
      <w:r>
        <w:rPr>
          <w:rFonts w:ascii="仿宋_GB2312" w:hAnsi="宋体" w:eastAsia="仿宋_GB2312" w:cs="楷体_GB2312"/>
          <w:bCs/>
          <w:kern w:val="2"/>
          <w:sz w:val="32"/>
          <w:szCs w:val="32"/>
        </w:rPr>
        <w:t>种子完成不少于10万株</w:t>
      </w:r>
      <w:r>
        <w:rPr>
          <w:rFonts w:hint="eastAsia" w:ascii="仿宋_GB2312" w:hAnsi="宋体" w:eastAsia="仿宋_GB2312" w:cs="楷体_GB2312"/>
          <w:bCs/>
          <w:kern w:val="2"/>
          <w:sz w:val="32"/>
          <w:szCs w:val="32"/>
        </w:rPr>
        <w:t>产业化</w:t>
      </w:r>
      <w:r>
        <w:rPr>
          <w:rFonts w:ascii="仿宋_GB2312" w:hAnsi="宋体" w:eastAsia="仿宋_GB2312" w:cs="楷体_GB2312"/>
          <w:bCs/>
          <w:kern w:val="2"/>
          <w:sz w:val="32"/>
          <w:szCs w:val="32"/>
        </w:rPr>
        <w:t>制备</w:t>
      </w:r>
      <w:r>
        <w:rPr>
          <w:rFonts w:hint="eastAsia" w:ascii="仿宋_GB2312" w:hAnsi="宋体" w:eastAsia="仿宋_GB2312" w:cs="楷体_GB2312"/>
          <w:bCs/>
          <w:kern w:val="2"/>
          <w:sz w:val="32"/>
          <w:szCs w:val="32"/>
        </w:rPr>
        <w:t>，并进行示范应用；</w:t>
      </w:r>
      <w:r>
        <w:rPr>
          <w:rFonts w:ascii="仿宋_GB2312" w:hAnsi="宋体" w:eastAsia="仿宋_GB2312" w:cs="楷体_GB2312"/>
          <w:bCs/>
          <w:kern w:val="2"/>
          <w:sz w:val="32"/>
          <w:szCs w:val="32"/>
        </w:rPr>
        <w:t>申报发明专利不少于5项，发表论文不少于2篇，开发科研助理岗位不少于3个。</w:t>
      </w:r>
    </w:p>
    <w:p>
      <w:pPr>
        <w:widowControl w:val="0"/>
        <w:adjustRightInd/>
        <w:snapToGrid/>
        <w:spacing w:after="0" w:line="580" w:lineRule="exact"/>
        <w:ind w:firstLine="640" w:firstLineChars="200"/>
        <w:jc w:val="both"/>
        <w:rPr>
          <w:rFonts w:ascii="仿宋_GB2312" w:hAnsi="仿宋_GB2312" w:eastAsia="仿宋_GB2312" w:cs="仿宋_GB2312"/>
          <w:b/>
          <w:bCs/>
          <w:kern w:val="2"/>
          <w:sz w:val="32"/>
          <w:szCs w:val="32"/>
        </w:rPr>
      </w:pPr>
      <w:r>
        <w:rPr>
          <w:rFonts w:ascii="仿宋_GB2312" w:hAnsi="宋体" w:eastAsia="仿宋_GB2312" w:cs="楷体_GB2312"/>
          <w:bCs/>
          <w:kern w:val="2"/>
          <w:sz w:val="32"/>
          <w:szCs w:val="32"/>
        </w:rPr>
        <w:t>拟支持项目1项，支持金额不超过</w:t>
      </w:r>
      <w:r>
        <w:rPr>
          <w:rFonts w:hint="eastAsia" w:ascii="仿宋_GB2312" w:hAnsi="宋体" w:eastAsia="仿宋_GB2312" w:cs="楷体_GB2312"/>
          <w:bCs/>
          <w:kern w:val="2"/>
          <w:sz w:val="32"/>
          <w:szCs w:val="32"/>
        </w:rPr>
        <w:t>120</w:t>
      </w:r>
      <w:r>
        <w:rPr>
          <w:rFonts w:ascii="仿宋_GB2312" w:hAnsi="宋体" w:eastAsia="仿宋_GB2312" w:cs="楷体_GB2312"/>
          <w:bCs/>
          <w:kern w:val="2"/>
          <w:sz w:val="32"/>
          <w:szCs w:val="32"/>
        </w:rPr>
        <w:t>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方向</w:t>
      </w:r>
      <w:r>
        <w:rPr>
          <w:rFonts w:hint="eastAsia" w:ascii="Times New Roman" w:hAnsi="Times New Roman" w:eastAsia="仿宋_GB2312" w:cs="Times New Roman"/>
          <w:b/>
          <w:bCs/>
          <w:kern w:val="2"/>
          <w:sz w:val="32"/>
          <w:szCs w:val="32"/>
        </w:rPr>
        <w:t>2</w:t>
      </w:r>
      <w:r>
        <w:rPr>
          <w:rFonts w:hint="eastAsia" w:ascii="仿宋_GB2312" w:hAnsi="仿宋_GB2312" w:eastAsia="仿宋_GB2312" w:cs="仿宋_GB2312"/>
          <w:b/>
          <w:bCs/>
          <w:kern w:val="2"/>
          <w:sz w:val="32"/>
          <w:szCs w:val="32"/>
        </w:rPr>
        <w:t>：高糖、高产串收樱桃番茄新品种选育与推广</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宋体" w:eastAsia="仿宋_GB2312" w:cs="楷体_GB2312"/>
          <w:bCs/>
          <w:kern w:val="2"/>
          <w:sz w:val="32"/>
          <w:szCs w:val="32"/>
        </w:rPr>
        <w:t>针对国内串收樱桃番茄优良品种短缺问题，开展串收樱桃番茄资源重要性状评价、串收构成性状基因挖掘和功能鉴定工作，探索花序类型、穗轴长度、果柄长度、果实间距等重要性状基因挖掘和功能鉴定方法；利用分子标记和基因编辑技术与传统育种方法结合，高效聚合抗病、优质和高产、串收等重要功能基因，培育优良的串收樱桃番茄新品种；同时结合育成品种的生长发育特性和温室性能制定与新品种的配套营养液栽培技术。</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开发串收、抗病、优质或农艺性状等相关的分子标记3-4个；创制优异新种质资源6-8份；培育全产季糖度9°以上（以可溶性固形物计量）、单串座果12个以上且抗3种以上病害,适用于连栋温室无土栽培的串收樱桃番茄新品种不少于2个，品种产量不低于28 kg/㎡；申请植物新品种权2-3项、品种登记2-3项；申请专利不少于9项，其中发明专利不少于5项，发表论文2-3篇；制定栽培技术规程1套；新品种及栽培技术示范推广1000亩以上，其中育成的新品种示范面积不少于200亩；开发科研助理岗位不少于3个。</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w:t>
      </w:r>
      <w:r>
        <w:rPr>
          <w:rFonts w:ascii="仿宋_GB2312" w:hAnsi="宋体" w:eastAsia="仿宋_GB2312" w:cs="楷体_GB2312"/>
          <w:bCs/>
          <w:kern w:val="2"/>
          <w:sz w:val="32"/>
          <w:szCs w:val="32"/>
        </w:rPr>
        <w:t>1</w:t>
      </w:r>
      <w:r>
        <w:rPr>
          <w:rFonts w:hint="eastAsia" w:ascii="仿宋_GB2312" w:hAnsi="宋体" w:eastAsia="仿宋_GB2312" w:cs="楷体_GB2312"/>
          <w:bCs/>
          <w:kern w:val="2"/>
          <w:sz w:val="32"/>
          <w:szCs w:val="32"/>
        </w:rPr>
        <w:t>项，支持金额不超过120万元。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方向</w:t>
      </w:r>
      <w:r>
        <w:rPr>
          <w:rFonts w:hint="eastAsia" w:ascii="Times New Roman" w:hAnsi="Times New Roman" w:eastAsia="仿宋_GB2312" w:cs="Times New Roman"/>
          <w:b/>
          <w:bCs/>
          <w:kern w:val="2"/>
          <w:sz w:val="32"/>
          <w:szCs w:val="32"/>
        </w:rPr>
        <w:t>3</w:t>
      </w:r>
      <w:r>
        <w:rPr>
          <w:rFonts w:hint="eastAsia" w:ascii="仿宋_GB2312" w:hAnsi="仿宋_GB2312" w:eastAsia="仿宋_GB2312" w:cs="仿宋_GB2312"/>
          <w:b/>
          <w:bCs/>
          <w:kern w:val="2"/>
          <w:sz w:val="32"/>
          <w:szCs w:val="32"/>
        </w:rPr>
        <w:t>：耐盐碱番茄新品种选育研究与示范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宋体" w:eastAsia="仿宋_GB2312" w:cs="楷体_GB2312"/>
          <w:bCs/>
          <w:kern w:val="2"/>
          <w:sz w:val="32"/>
          <w:szCs w:val="32"/>
        </w:rPr>
        <w:t>针对</w:t>
      </w:r>
      <w:r>
        <w:rPr>
          <w:rFonts w:ascii="仿宋_GB2312" w:hAnsi="宋体" w:eastAsia="仿宋_GB2312" w:cs="楷体_GB2312"/>
          <w:bCs/>
          <w:kern w:val="2"/>
          <w:sz w:val="32"/>
          <w:szCs w:val="32"/>
        </w:rPr>
        <w:t>土壤盐碱化严重威胁作物生长发育，限制我国</w:t>
      </w:r>
      <w:r>
        <w:rPr>
          <w:rFonts w:hint="eastAsia" w:ascii="仿宋_GB2312" w:hAnsi="宋体" w:eastAsia="仿宋_GB2312" w:cs="楷体_GB2312"/>
          <w:bCs/>
          <w:kern w:val="2"/>
          <w:sz w:val="32"/>
          <w:szCs w:val="32"/>
        </w:rPr>
        <w:t>及全世界</w:t>
      </w:r>
      <w:r>
        <w:rPr>
          <w:rFonts w:ascii="仿宋_GB2312" w:hAnsi="宋体" w:eastAsia="仿宋_GB2312" w:cs="楷体_GB2312"/>
          <w:bCs/>
          <w:kern w:val="2"/>
          <w:sz w:val="32"/>
          <w:szCs w:val="32"/>
        </w:rPr>
        <w:t>农业可持续发展</w:t>
      </w:r>
      <w:r>
        <w:rPr>
          <w:rFonts w:hint="eastAsia" w:ascii="仿宋_GB2312" w:hAnsi="宋体" w:eastAsia="仿宋_GB2312" w:cs="楷体_GB2312"/>
          <w:bCs/>
          <w:kern w:val="2"/>
          <w:sz w:val="32"/>
          <w:szCs w:val="32"/>
        </w:rPr>
        <w:t>问题，采用基因敲除和过表达技术、杂交育种技术、分子标记辅助选择技术，研究番茄耐盐碱胁迫机理，构建耐盐碱自交系群体筛选体系，筛选适宜的耐盐碱番茄品种，自主选育耐盐碱番茄新品种（系），研究优质专用品种的配套栽培技术，</w:t>
      </w:r>
      <w:r>
        <w:rPr>
          <w:rFonts w:ascii="仿宋_GB2312" w:hAnsi="宋体" w:eastAsia="仿宋_GB2312" w:cs="楷体_GB2312"/>
          <w:bCs/>
          <w:kern w:val="2"/>
          <w:sz w:val="32"/>
          <w:szCs w:val="32"/>
        </w:rPr>
        <w:t>有效提高番茄在盐碱地区的适应性和产量，</w:t>
      </w:r>
      <w:r>
        <w:rPr>
          <w:rFonts w:hint="eastAsia" w:ascii="仿宋_GB2312" w:hAnsi="宋体" w:eastAsia="仿宋_GB2312" w:cs="楷体_GB2312"/>
          <w:bCs/>
          <w:kern w:val="2"/>
          <w:sz w:val="32"/>
          <w:szCs w:val="32"/>
        </w:rPr>
        <w:t xml:space="preserve">为青岛市打造耐盐碱高品质番茄产业，提供品种和栽培技术支撑。       </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阐明番茄耐盐碱性状的形成机制及进化演化规律，鉴定番茄耐盐碱功能基因及其优异单倍型1-2个；选育并创制耐盐碱番茄新品系2-3个；育成耐盐碱番茄新品种1-2个；耐盐碱番茄专用砧木品种1-2个；制定新品种的配套栽培技术规程1-2个；申请新品种权或品种登记1-2个；发表高水平论文1-2篇；申请专利1项；示范面积100亩以上。</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w:t>
      </w:r>
      <w:r>
        <w:rPr>
          <w:rFonts w:ascii="仿宋_GB2312" w:hAnsi="宋体" w:eastAsia="仿宋_GB2312" w:cs="楷体_GB2312"/>
          <w:bCs/>
          <w:kern w:val="2"/>
          <w:sz w:val="32"/>
          <w:szCs w:val="32"/>
        </w:rPr>
        <w:t>1</w:t>
      </w:r>
      <w:r>
        <w:rPr>
          <w:rFonts w:hint="eastAsia" w:ascii="仿宋_GB2312" w:hAnsi="宋体" w:eastAsia="仿宋_GB2312" w:cs="楷体_GB2312"/>
          <w:bCs/>
          <w:kern w:val="2"/>
          <w:sz w:val="32"/>
          <w:szCs w:val="32"/>
        </w:rPr>
        <w:t>项，支持金额不超过60万元。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4</w:t>
      </w:r>
      <w:r>
        <w:rPr>
          <w:rFonts w:hint="eastAsia" w:ascii="仿宋_GB2312" w:hAnsi="宋体" w:eastAsia="仿宋_GB2312" w:cs="楷体_GB2312"/>
          <w:b/>
          <w:kern w:val="2"/>
          <w:sz w:val="32"/>
          <w:szCs w:val="32"/>
        </w:rPr>
        <w:t>：青岛百合种质优化扩繁与食药同源研发应用</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针对珍稀濒危植物青岛百合种质种群数量稀少、自然条件下更新能力弱、产业应用范围狭窄等问题，开展青岛百合生物多样性脆弱原因分析，研究影响青岛百合分布的关键环境因素，发掘优异种质和重要遗传性状优异基因资源，通过杂交、镭射诱变等技术改良培育青岛百合新品种，通过组培、扦插等方式实现迅速扩繁。精准分析、评价青岛百合营养功能因子与生物活性成分，开发特色功能性食品、风味饮料等高附加值产品，拓展提升青岛百合资源精深加工及高值化利用水平。</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建立青岛百合种质遗传改良研究技术1套；建立青岛百合胚拯救新技术1项；项目实施期内，实现扩繁植株不少于1000万株；建立青岛百合营养功能因子及活性物质指纹图谱1套；开发青岛百合高附加值精深加工产品2-3个，完成中试；建立技术标准或规程3项以上；发表论文2-3篇，申请专利1-2件；建立青岛百合全产业链一体化高效综合利用示范基地1个。</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拟支持项目1项，支持金额不超过60万元。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2.畜禽健康养殖与疫病防控</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方向1：全价颗粒饲料发酵关键技术研发及产业化</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针对当前节粮型饲料开发和应用中发酵原料不能全面提升营养价值、发酵产生的热敏性益生菌和代谢产物在饲料加工过程中损失过大等问题，综合采用微生物（益生菌）高通量筛选技术、“菌+酶”联用效能增强技术、设备智能化与自动控制技术等，研究适于发酵全价颗粒饲料的发酵剂、发酵工艺和发酵设备，实现已制成颗粒全价饲料的整体控温（不超过40℃）发酵，对饲料整体进行有效预消化和有益产物的培养、预添加，解决热敏性添加剂的使用制约问题，提升饲料消化吸收率、提高养殖动物的生长健康水平、降低养殖水体环境污染。</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形成具有自主知识产权的颗粒饲料发酵剂产品3个以上；</w:t>
      </w:r>
      <w:r>
        <w:rPr>
          <w:rFonts w:hint="eastAsia" w:ascii="仿宋_GB2312" w:hAnsi="仿宋_GB2312" w:eastAsia="仿宋_GB2312" w:cs="仿宋_GB2312"/>
          <w:kern w:val="2"/>
          <w:sz w:val="32"/>
          <w:szCs w:val="32"/>
        </w:rPr>
        <w:t>与传统全价饲料相比，发酵全价颗粒饲料中益生菌（酵母菌和乳酸菌）存活率提升9</w:t>
      </w:r>
      <w:r>
        <w:rPr>
          <w:rFonts w:ascii="仿宋_GB2312" w:hAnsi="仿宋_GB2312" w:eastAsia="仿宋_GB2312" w:cs="仿宋_GB2312"/>
          <w:kern w:val="2"/>
          <w:sz w:val="32"/>
          <w:szCs w:val="32"/>
        </w:rPr>
        <w:t>0%以上，</w:t>
      </w:r>
      <w:r>
        <w:rPr>
          <w:rFonts w:hint="eastAsia" w:ascii="仿宋_GB2312" w:hAnsi="宋体" w:eastAsia="仿宋_GB2312" w:cs="楷体_GB2312"/>
          <w:bCs/>
          <w:kern w:val="2"/>
          <w:sz w:val="32"/>
          <w:szCs w:val="32"/>
        </w:rPr>
        <w:t>养殖水体氨氮浓度降低20%以上，亚硝酸盐浓度降低15%以上，对虾总体成活率提高15%以上；开发智能化、自动化颗粒饲料发酵生产设备一套，产能3t/h以上；项目完成当年实现发酵剂等产品销售额不少于200万元，带动饲料类公司生产发酵全价颗粒饲料1万吨以上、产值2亿元以上；申请发明专利不少于3项；形成全价颗粒饲料发酵的实用技术体系1套，包括生产工艺、产品质量评价与控制、养殖应用方案等。</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
          <w:kern w:val="2"/>
          <w:sz w:val="32"/>
          <w:szCs w:val="32"/>
        </w:rPr>
      </w:pPr>
      <w:r>
        <w:rPr>
          <w:rFonts w:hint="eastAsia" w:ascii="仿宋_GB2312" w:hAnsi="宋体" w:eastAsia="仿宋_GB2312" w:cs="楷体_GB2312"/>
          <w:bCs/>
          <w:kern w:val="2"/>
          <w:sz w:val="32"/>
          <w:szCs w:val="32"/>
        </w:rPr>
        <w:t>拟支持项目1项，支持金额不超过120万元。</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b/>
          <w:bCs/>
          <w:color w:val="000000"/>
          <w:kern w:val="2"/>
          <w:sz w:val="32"/>
          <w:szCs w:val="32"/>
        </w:rPr>
      </w:pPr>
      <w:r>
        <w:rPr>
          <w:rFonts w:hint="eastAsia" w:ascii="仿宋_GB2312" w:hAnsi="宋体" w:eastAsia="仿宋_GB2312" w:cs="楷体_GB2312"/>
          <w:b/>
          <w:kern w:val="2"/>
          <w:sz w:val="32"/>
          <w:szCs w:val="32"/>
        </w:rPr>
        <w:t>方向2：</w:t>
      </w:r>
      <w:r>
        <w:rPr>
          <w:rFonts w:hint="eastAsia" w:ascii="仿宋_GB2312" w:hAnsi="Calibri" w:eastAsia="仿宋_GB2312" w:cs="仿宋_GB2312"/>
          <w:b/>
          <w:bCs/>
          <w:color w:val="000000"/>
          <w:kern w:val="2"/>
          <w:sz w:val="32"/>
          <w:szCs w:val="32"/>
        </w:rPr>
        <w:t>牛重要疫病新型诊断技术与产品研发</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宋体" w:eastAsia="仿宋_GB2312" w:cs="楷体_GB2312"/>
          <w:bCs/>
          <w:kern w:val="2"/>
          <w:sz w:val="32"/>
          <w:szCs w:val="32"/>
        </w:rPr>
        <w:t>针对牛疫病现状及牛主要疫病（腹泻呼吸道类和流产类疫病）感染和发病流行情况，围绕犊牛呼吸道病、腹泻病和奶牛流产病等严重制约养牛产业的“症候病”，开展牛重要疫病新型诊断技术与产品研发。根据病原感染、发病特点以及主要抗原特性，利用基因工程表达、培养纯化和生物合成等方法制备主要病原体的抗原及相应抗体，建立抗体或抗原快速检测方法；根据病原特点，选择保守区域进行PCR设计，建立PCR快速检测方法，为牛养殖产业提供快速准确检测手段。</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宋体" w:eastAsia="仿宋_GB2312" w:cs="楷体_GB2312"/>
          <w:bCs/>
          <w:kern w:val="2"/>
          <w:sz w:val="32"/>
          <w:szCs w:val="32"/>
        </w:rPr>
        <w:t>开发副结核分枝杆菌间接ELISA抗体检测试剂盒、牛病毒性腹泻病毒夹心ELISA检测试剂盒、牛病毒性腹泻病毒抗原检测卡、牛病毒性腹泻病毒ELISA抗体检测试剂盒、犊牛腹泻病原5联检测卡、犊牛呼吸道病5联ELISA抗体检测试剂盒等免疫学检测产品各1种，敏感性和特异性均高于95%，符合临床检测需求；研制副结核分枝杆菌、牛病毒性腹泻病毒、犊牛腹泻5联、犊牛呼吸道病8联和牛流产8联qPCR试剂盒等分子生物学检测产品各1种，敏感性和特异性均高于99.5%；申报专利2项以上；发表论文不少于2篇；形成牛病毒性腹泻病毒综合防控技术指导手册等相关疫病诊断综合技术手册3套以上；新增营业收入不少于200万元/年。</w:t>
      </w:r>
    </w:p>
    <w:p>
      <w:pPr>
        <w:widowControl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拟支持项目1项，支持金额不超过60万元。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方向3：乳品中高风险致病菌高效快速检测、溯源及精准防控技术研究与示范推广</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围绕青岛市主产区生牛乳提质增效问题，采用宏基因组学相关性网络分析及精准定量技术识别高风险致病菌，明确乳及乳制品加工中引起人体健康危害的微生物多样性分布和污染规律；建立基于新靶标分子的核酸适配体食源性致病菌快速筛查和高特异性精准检测技术。研发便携式拉曼光谱增强传感芯片，适用于养殖户或乳品企业现场可视化定性判别致病菌种类及定量检测致病菌含量。构建高风险致病菌溯源预警体系，解决高风险致病菌在乳品工业污染途径与污染规律尚不明确、检测周期长、污染菌种难以追溯、致病菌无法精准防控等瓶颈问题，为青岛市奶业提质增效和健康可持续发展提供重要技术支撑。</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生牛乳采样范围覆盖青岛市规模化牧场不少于30个；识别原料乳中未知的高风险致病菌5种以上，关键毒力或耐药基因10个以上，明确目标菌污染途径1-2个。研发针对不少于10种致病菌识别性能的表面增强拉曼光谱传感芯片2-3种，高通量检测效率不低于95%，准确性不低于90%；开发智能化快速识别检测致病菌的智能软件2个。形成系统完整、切实可行的乳品质量安全评价与快速监控技术体系1套，乳品企业安全生产规程1套。发表SCI论文3篇以上，申请专利2-4件；乳品生产提质后，新增产值不少于2000万元/年，新增利税200万元/年以上，开发科研助理岗位1个以上。</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拟支持项目1项，支持金额不超过60万元。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3.农业资源利用与农业生态保护</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方向1：腐植酸类有机水溶肥的开发及其在盐碱地土壤改良中的应用</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针对土壤盐渍化问题，围绕可持续农业发展方向，研究褐煤改性路线，开发含腐植酸类液体土壤调理剂；研究褐煤、海带降解路线和复配的科学配比，开发黄腐酸与褐藻寡糖搭配的有机水溶肥；研究盐碱地土壤改良与修复的有效方法，确定土壤调理剂和有机水溶肥的配合使用方案，并推广应用，解决土壤盐渍化对农业生产的负面影响，提升土壤质量与农业可持续发展水平。</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bCs/>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开发含腐植酸液体土壤调理剂产品不少于1个，腐植酸含量80-200g/L；开发含黄腐酸和褐藻寡糖的有机水溶肥产品不少于1个，黄腐酸含量50-150g/L、褐藻寡糖含量2-20g/L；制定有机水溶肥产品技术规程不少于10个；施用产品后，土壤EC值降低10%以上，作物根系增长10%以上，亩产增加20%以上；</w:t>
      </w:r>
      <w:r>
        <w:rPr>
          <w:rFonts w:hint="eastAsia" w:ascii="仿宋_GB2312" w:hAnsi="Calibri" w:eastAsia="仿宋_GB2312" w:cs="仿宋_GB2312"/>
          <w:color w:val="000000"/>
          <w:kern w:val="2"/>
          <w:sz w:val="32"/>
          <w:szCs w:val="32"/>
        </w:rPr>
        <w:t>研究盐碱地土壤改良与修复的有效方法，形成技术方案1套，</w:t>
      </w:r>
      <w:r>
        <w:rPr>
          <w:rFonts w:hint="eastAsia" w:ascii="仿宋_GB2312" w:hAnsi="Calibri" w:eastAsia="仿宋_GB2312" w:cs="仿宋_GB2312"/>
          <w:bCs/>
          <w:color w:val="000000"/>
          <w:kern w:val="2"/>
          <w:sz w:val="32"/>
          <w:szCs w:val="32"/>
        </w:rPr>
        <w:t>在至少5个地方进行示范应用，其中在青岛地区示范应用不少于100亩；新建褐煤磺甲基化生产线2条，褐煤氧化生产线1条，酶解工艺生产线1条，项目实施期内，营业收入不少于3000万元；申请发明专利不少于2项；引进或培养技术骨干不少于5人；开发科研助理岗位不少于2个。</w:t>
      </w:r>
    </w:p>
    <w:p>
      <w:pPr>
        <w:widowControl w:val="0"/>
        <w:adjustRightInd/>
        <w:snapToGrid/>
        <w:spacing w:after="0"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拟支持项目</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项，支持金额不超过60万元。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方向2：优质叶用银杏新品系选育及产业化推广</w:t>
      </w:r>
    </w:p>
    <w:p>
      <w:pPr>
        <w:widowControl w:val="0"/>
        <w:autoSpaceDE w:val="0"/>
        <w:autoSpaceDN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宋体" w:eastAsia="仿宋_GB2312" w:cs="楷体_GB2312"/>
          <w:b/>
          <w:kern w:val="2"/>
          <w:sz w:val="32"/>
          <w:szCs w:val="32"/>
        </w:rPr>
        <w:t>研究内容：</w:t>
      </w:r>
      <w:r>
        <w:rPr>
          <w:rFonts w:hint="eastAsia" w:ascii="仿宋_GB2312" w:hAnsi="仿宋_GB2312" w:eastAsia="仿宋_GB2312" w:cs="仿宋_GB2312"/>
          <w:kern w:val="2"/>
          <w:sz w:val="32"/>
          <w:szCs w:val="32"/>
        </w:rPr>
        <w:t>针对银杏叶资源不足、品质不佳、种植管理技术粗放等产业瓶颈问题，围绕速生、高产叶、高药用含量、低毒等重要产业化需求，开展叶用银杏速生、高产叶、高药用成分含量、低毒等优良性状的评估及分子机制解析，选育创制优质叶用银杏新品系，开发银杏优良种苗的工厂化繁育、集约化栽培与精细管理、机械化采收等技术体系，促进银杏新品系集约化、规模化产业推广，突破优质叶用银杏新品系选育与产业化推广过程中的技术瓶颈，提升我市银杏企业的科技创新能力。</w:t>
      </w:r>
    </w:p>
    <w:p>
      <w:pPr>
        <w:widowControl w:val="0"/>
        <w:autoSpaceDE w:val="0"/>
        <w:autoSpaceDN w:val="0"/>
        <w:adjustRightInd/>
        <w:snapToGrid/>
        <w:spacing w:after="0" w:line="580" w:lineRule="exact"/>
        <w:ind w:firstLine="643" w:firstLineChars="200"/>
        <w:jc w:val="both"/>
        <w:rPr>
          <w:rFonts w:ascii="Calibri" w:hAnsi="Calibri" w:eastAsia="宋体" w:cs="Calibri"/>
          <w:kern w:val="2"/>
          <w:sz w:val="21"/>
          <w:szCs w:val="21"/>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color w:val="000000"/>
          <w:kern w:val="2"/>
          <w:sz w:val="32"/>
          <w:szCs w:val="32"/>
        </w:rPr>
        <w:t>挖掘2-3个银杏速生、高产叶、高药用含量、低毒等优良性状形成的关键基因资源；创新银杏化学成分指纹图谱分析技术1-2套；创制叶用银杏速生、高产叶、高药用成分含量新品种（系）1-2个；建立叶用银杏新品系工厂化高效育苗技术体系1套，建成银杏种苗繁育基地500亩以上，繁育2-3个叶用银杏新品系，形成不低于年产银杏种苗1000万株的生产能力；打造叶用银杏新品系产业技术集成模式1个，建立银杏资源基地化、叶片质量标准化的密植高产示范基地100亩以上，年产值实现1000万元以上；制定从种植、管理到叶片采收等相关技术标准2-3个；培养青年骨干3-5名，发表论文2-3篇，申请专利2-3项。</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仿宋_GB2312" w:eastAsia="仿宋_GB2312" w:cs="仿宋_GB2312"/>
          <w:kern w:val="2"/>
          <w:sz w:val="32"/>
          <w:szCs w:val="32"/>
        </w:rPr>
        <w:t>拟支持项目</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项，支持金额不超过60万元。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方向3：农业资源代谢物挖掘与水产动物病害防控应用</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针对水产绿色健康养殖背景下，替代抗生素、实现“无抗养殖”的重大需求，聚焦天然代谢产物拮抗细菌性病原及调控水生动物免疫的科学问题，从农用植物及微生物资源中发掘和鉴定高活性天然产物，研究代谢产物介导杀菌及调控水产动物免疫的机制、解析天然产物对水产动物肠道菌群及代谢的调控机制、利用合成生物学技术对天然产物进行纯化并建立高产技术体系。在集成单一天然产物及联合杀菌技术的基础上，形成杀鲑气单胞菌、灿烂弧菌及小瓜虫等水产病虫害的防治策略，构建鲑鳟鱼、刺参等特色水产动物的无抗化养殖技术，开发农用植物及微生物资源的提取物制剂，并进行产品示范和推广。</w:t>
      </w:r>
    </w:p>
    <w:p>
      <w:pPr>
        <w:widowControl w:val="0"/>
        <w:adjustRightInd/>
        <w:snapToGrid/>
        <w:spacing w:after="0" w:line="580" w:lineRule="exact"/>
        <w:ind w:firstLine="641"/>
        <w:jc w:val="both"/>
        <w:rPr>
          <w:rFonts w:ascii="仿宋_GB2312" w:hAnsi="仿宋_GB2312" w:eastAsia="仿宋_GB2312" w:cs="仿宋_GB2312"/>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挖掘具有拮抗水产典型病原菌及免疫调控功能的植物源（烟草、肉桂、牛至等）提取物2-3种；从水产来源微生物中筛选拮抗水生动物典型细菌性病害的有益菌株6株以上，鉴定微生物次级代谢物5种以上，获得分泌细菌素的水产源菌株3株以上；构建高效合成细菌素的底盘菌株1株以上，纯化细菌素1-2种；开发植物源免疫增强剂、水产微生态制剂等产品2-3种；构建鲑鳟鱼、刺参等特色水产品种的无抗化养殖技术模式1-</w:t>
      </w:r>
      <w:r>
        <w:rPr>
          <w:rFonts w:ascii="仿宋_GB2312" w:hAnsi="Calibri" w:eastAsia="仿宋_GB2312" w:cs="仿宋_GB2312"/>
          <w:bCs/>
          <w:color w:val="000000"/>
          <w:kern w:val="2"/>
          <w:sz w:val="32"/>
          <w:szCs w:val="32"/>
        </w:rPr>
        <w:t>2</w:t>
      </w:r>
      <w:r>
        <w:rPr>
          <w:rFonts w:hint="eastAsia" w:ascii="仿宋_GB2312" w:hAnsi="Calibri" w:eastAsia="仿宋_GB2312" w:cs="仿宋_GB2312"/>
          <w:bCs/>
          <w:color w:val="000000"/>
          <w:kern w:val="2"/>
          <w:sz w:val="32"/>
          <w:szCs w:val="32"/>
        </w:rPr>
        <w:t>套，项目实施期间生产示范面积500亩以上。</w:t>
      </w:r>
      <w:r>
        <w:rPr>
          <w:rFonts w:hint="eastAsia" w:ascii="仿宋_GB2312" w:hAnsi="仿宋_GB2312" w:eastAsia="仿宋_GB2312" w:cs="仿宋_GB2312"/>
          <w:kern w:val="2"/>
          <w:sz w:val="32"/>
          <w:szCs w:val="32"/>
        </w:rPr>
        <w:t>申请专利不少于</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项，发表学术论文2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3篇，培养研究生3-4人。</w:t>
      </w:r>
    </w:p>
    <w:p>
      <w:pPr>
        <w:widowControl w:val="0"/>
        <w:autoSpaceDE w:val="0"/>
        <w:autoSpaceDN w:val="0"/>
        <w:adjustRightInd/>
        <w:snapToGrid/>
        <w:spacing w:after="0" w:line="580" w:lineRule="exact"/>
        <w:ind w:firstLine="640" w:firstLineChars="200"/>
        <w:jc w:val="both"/>
        <w:rPr>
          <w:rFonts w:ascii="楷体_GB2312" w:hAnsi="楷体_GB2312" w:eastAsia="仿宋_GB2312" w:cs="楷体_GB2312"/>
          <w:kern w:val="2"/>
          <w:sz w:val="32"/>
          <w:szCs w:val="32"/>
        </w:rPr>
      </w:pPr>
      <w:r>
        <w:rPr>
          <w:rFonts w:hint="eastAsia" w:ascii="仿宋_GB2312" w:hAnsi="仿宋_GB2312" w:eastAsia="仿宋_GB2312" w:cs="仿宋_GB2312"/>
          <w:kern w:val="2"/>
          <w:sz w:val="32"/>
          <w:szCs w:val="32"/>
        </w:rPr>
        <w:t>拟支持项目</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项，支持金额不超过60万元。</w:t>
      </w:r>
    </w:p>
    <w:p>
      <w:pPr>
        <w:widowControl w:val="0"/>
        <w:autoSpaceDE w:val="0"/>
        <w:autoSpaceDN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4.农产品精深加工及储藏流通安全</w:t>
      </w:r>
    </w:p>
    <w:p>
      <w:pPr>
        <w:widowControl w:val="0"/>
        <w:adjustRightInd/>
        <w:snapToGrid/>
        <w:spacing w:after="0" w:line="580" w:lineRule="exact"/>
        <w:ind w:firstLine="641"/>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1</w:t>
      </w:r>
      <w:r>
        <w:rPr>
          <w:rFonts w:hint="eastAsia" w:ascii="仿宋_GB2312" w:hAnsi="宋体" w:eastAsia="仿宋_GB2312" w:cs="楷体_GB2312"/>
          <w:b/>
          <w:kern w:val="2"/>
          <w:sz w:val="32"/>
          <w:szCs w:val="32"/>
        </w:rPr>
        <w:t>：进境种质资源监管关键技术的研究与示范</w:t>
      </w:r>
    </w:p>
    <w:p>
      <w:pPr>
        <w:widowControl w:val="0"/>
        <w:adjustRightInd/>
        <w:snapToGrid/>
        <w:spacing w:after="0" w:line="580" w:lineRule="exact"/>
        <w:ind w:firstLine="641"/>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针对进境种质资源检疫监管中存在的现场检测手段少、效率低、实验室检测灵敏度低、周期长、带病种子除害处理方式单一且缺乏评估标准等问题，研究开发进境种质资源现场多靶标一次检测、实验室超痕量精准检疫、带病种子智能除害及评估等多元化关键监管技术，填补我国进境种质资源高通量检疫和智能消杀集成技术研发空白，支撑智能检疫与处理应用整体技术能力提升，为我国口岸进境种质资源质量、安全与健康提供全流程、全领域、全项目的技术支撑和管理决策依据。</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研制进境种质资源智能快速检测一体化设备、一次性检测微流控芯片试剂盒各1套；开发智能检疫处理及效果评价技术1套；建立除害处理绿色环保技术标准2部。建立进境种质资源≥8种检疫性植物病原快速检疫技术，研发检测试剂盒等产/制品8种。申请专利8-10项、软件著作权≥2项、地方、行业标准6项。完成智能装备的核心部件、试剂耗材、系统装备自主研发和知识产权覆盖，在进境种质资源现场检疫、实验室检测、口岸和田间监测、无害化处理等领域研发新技术与装备，并在全国10个主要进口种质资源口岸开展多场景、全领域性能测试和应用示范。</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Cs/>
          <w:color w:val="000000"/>
          <w:kern w:val="2"/>
          <w:sz w:val="32"/>
          <w:szCs w:val="32"/>
        </w:rPr>
        <w:t>拟支持项目1项，支持金额120万元。</w:t>
      </w:r>
    </w:p>
    <w:p>
      <w:pPr>
        <w:widowControl w:val="0"/>
        <w:adjustRightInd/>
        <w:snapToGrid/>
        <w:spacing w:after="0" w:line="580" w:lineRule="exact"/>
        <w:ind w:firstLine="629" w:firstLineChars="200"/>
        <w:jc w:val="both"/>
        <w:rPr>
          <w:rFonts w:ascii="华文宋体" w:hAnsi="华文宋体" w:eastAsia="华文宋体" w:cs="华文宋体"/>
          <w:b/>
          <w:kern w:val="2"/>
          <w:sz w:val="24"/>
          <w:szCs w:val="24"/>
        </w:rPr>
      </w:pPr>
      <w:r>
        <w:rPr>
          <w:rFonts w:hint="eastAsia" w:ascii="仿宋_GB2312" w:hAnsi="宋体" w:eastAsia="仿宋_GB2312" w:cs="楷体_GB2312"/>
          <w:b/>
          <w:w w:val="98"/>
          <w:kern w:val="2"/>
          <w:sz w:val="32"/>
          <w:szCs w:val="32"/>
        </w:rPr>
        <w:t>方向</w:t>
      </w:r>
      <w:r>
        <w:rPr>
          <w:rFonts w:hint="eastAsia" w:ascii="Times New Roman" w:hAnsi="Times New Roman" w:eastAsia="仿宋_GB2312" w:cs="Times New Roman"/>
          <w:b/>
          <w:bCs/>
          <w:kern w:val="2"/>
          <w:sz w:val="32"/>
          <w:szCs w:val="32"/>
        </w:rPr>
        <w:t>2</w:t>
      </w:r>
      <w:r>
        <w:rPr>
          <w:rFonts w:hint="eastAsia" w:ascii="仿宋_GB2312" w:hAnsi="宋体" w:eastAsia="仿宋_GB2312" w:cs="楷体_GB2312"/>
          <w:b/>
          <w:w w:val="98"/>
          <w:kern w:val="2"/>
          <w:sz w:val="32"/>
          <w:szCs w:val="32"/>
        </w:rPr>
        <w:t>：</w:t>
      </w:r>
      <w:bookmarkStart w:id="1" w:name="_Hlk169616759"/>
      <w:bookmarkStart w:id="2" w:name="_Hlk169616768"/>
      <w:r>
        <w:rPr>
          <w:rFonts w:hint="eastAsia" w:ascii="仿宋_GB2312" w:hAnsi="宋体" w:eastAsia="仿宋_GB2312" w:cs="楷体_GB2312"/>
          <w:b/>
          <w:w w:val="98"/>
          <w:kern w:val="2"/>
          <w:sz w:val="32"/>
          <w:szCs w:val="32"/>
        </w:rPr>
        <w:t>面制主食工业化生产关键技术</w:t>
      </w:r>
      <w:bookmarkEnd w:id="1"/>
      <w:r>
        <w:rPr>
          <w:rFonts w:hint="eastAsia" w:ascii="仿宋_GB2312" w:hAnsi="宋体" w:eastAsia="仿宋_GB2312" w:cs="楷体_GB2312"/>
          <w:b/>
          <w:w w:val="98"/>
          <w:kern w:val="2"/>
          <w:sz w:val="32"/>
          <w:szCs w:val="32"/>
        </w:rPr>
        <w:t>与智能装备创制</w:t>
      </w:r>
      <w:bookmarkEnd w:id="2"/>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bCs/>
          <w:color w:val="000000"/>
          <w:kern w:val="2"/>
          <w:sz w:val="32"/>
          <w:szCs w:val="32"/>
        </w:rPr>
        <w:t>针对馒头鲜湿面等传统面制主食质构和风味品种单一、加工技术装备自动化智能化水平低等问题，围绕以馒头、鲜湿面为代表的面制主食，开展和面、熟化、醒发、复合、压延等关键加工工艺及自动化智能化加工过程的研究；突破自动仿生和面揉面技术、片絮复合压延技术、物理保鲜等关键技术</w:t>
      </w:r>
      <w:bookmarkStart w:id="3" w:name="_Hlk169636842"/>
      <w:r>
        <w:rPr>
          <w:rFonts w:hint="eastAsia" w:ascii="仿宋_GB2312" w:hAnsi="Calibri" w:eastAsia="仿宋_GB2312" w:cs="仿宋_GB2312"/>
          <w:bCs/>
          <w:color w:val="000000"/>
          <w:kern w:val="2"/>
          <w:sz w:val="32"/>
          <w:szCs w:val="32"/>
        </w:rPr>
        <w:t>瓶颈；开发片絮复合压延，自动仿生揉面，自动接片，自动摆盘等关键装备，实现外密内松的新面食结构工艺，</w:t>
      </w:r>
      <w:bookmarkEnd w:id="3"/>
      <w:r>
        <w:rPr>
          <w:rFonts w:hint="eastAsia" w:ascii="仿宋_GB2312" w:hAnsi="Calibri" w:eastAsia="仿宋_GB2312" w:cs="仿宋_GB2312"/>
          <w:bCs/>
          <w:color w:val="000000"/>
          <w:kern w:val="2"/>
          <w:sz w:val="32"/>
          <w:szCs w:val="32"/>
        </w:rPr>
        <w:t>实现速煮性及口感的爽滑性；实现基于“原料-技术-装备”全产业链视角的中央厨房中式特色面制品加工技术及装备集成，为高效中央厨房产业提供面制主食高效智能化生产线。</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形成馒头生产装备示范线1条，产能1.2 t/h（12000个馒头/小时）；实现面团仿手工90°垂直折叠压延；一次成型率＞95%；蒸汽耗量＜700 kg/h；形成鲜湿面生产装备线1条，产能600-800 kg/h，实现真空和面及片絮复合连续自动化生产，真空度≥-0.6MPa，面带宽度450mm；制定技术规程或行业标准不少于3项，申请专利2-3件，发表论文2-3篇；培养硕士研究生不少于5名，技术人才不少于10人；项目实施期内，新增营业收入不低于2000万元，新增利税不少于200万元。</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Cs/>
          <w:color w:val="000000"/>
          <w:kern w:val="2"/>
          <w:sz w:val="32"/>
          <w:szCs w:val="32"/>
        </w:rPr>
        <w:t>拟支持项目1项，支持金额不超过120万元。</w:t>
      </w:r>
    </w:p>
    <w:p>
      <w:pPr>
        <w:widowControl w:val="0"/>
        <w:autoSpaceDE w:val="0"/>
        <w:autoSpaceDN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5.植物病虫害防治与绿色生产</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方向</w:t>
      </w:r>
      <w:r>
        <w:rPr>
          <w:rFonts w:hint="eastAsia" w:ascii="Times New Roman" w:hAnsi="Times New Roman" w:eastAsia="仿宋_GB2312" w:cs="Times New Roman"/>
          <w:b/>
          <w:bCs/>
          <w:kern w:val="2"/>
          <w:sz w:val="32"/>
          <w:szCs w:val="32"/>
        </w:rPr>
        <w:t>1</w:t>
      </w:r>
      <w:r>
        <w:rPr>
          <w:rFonts w:hint="eastAsia" w:ascii="仿宋_GB2312" w:hAnsi="仿宋_GB2312" w:eastAsia="仿宋_GB2312" w:cs="仿宋_GB2312"/>
          <w:b/>
          <w:bCs/>
          <w:kern w:val="2"/>
          <w:sz w:val="32"/>
          <w:szCs w:val="32"/>
        </w:rPr>
        <w:t>：基于壳聚糖的经济作物线虫病害防控研究与示范应用</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研究内容：</w:t>
      </w:r>
      <w:r>
        <w:rPr>
          <w:rFonts w:hint="eastAsia" w:ascii="仿宋_GB2312" w:hAnsi="仿宋_GB2312" w:eastAsia="仿宋_GB2312" w:cs="仿宋_GB2312"/>
          <w:kern w:val="2"/>
          <w:sz w:val="32"/>
          <w:szCs w:val="32"/>
        </w:rPr>
        <w:t>针对经济作物线虫病害的易耐药、难治理问题，聚焦食品安全及土壤生态需求，围绕“绿色兴农”“农药减量增效”，采用壳聚糖复合物结构修饰与制备技术、几丁质酶高效挖掘技术、壳聚糖复合载体——几丁质酶固定化技术、壳聚糖纳米包埋技术，筛选适宜推广的壳聚糖基绿色增效防治剂、纳米包埋缓释防治剂，优化制剂稳定性、可控释放及杀线活性，开展长期田间试验和效果监测，建立配套应用规程，为青岛市农药减施、土壤质量提升、农产品安全和生态文明建设提供支撑。</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考核指标：</w:t>
      </w:r>
      <w:r>
        <w:rPr>
          <w:rFonts w:hint="eastAsia" w:ascii="仿宋_GB2312" w:hAnsi="仿宋_GB2312" w:eastAsia="仿宋_GB2312" w:cs="仿宋_GB2312"/>
          <w:kern w:val="2"/>
          <w:sz w:val="32"/>
          <w:szCs w:val="32"/>
        </w:rPr>
        <w:t>筛选抑菌、杀线及调节土壤的壳聚糖复合物3-5个，挖掘稳定高效的几丁质酶4-6个，创制绿色增效的复合包埋颗粒剂2-3种；构建壳聚糖纳米包埋技术体系，开发适用于随水施药的复合水乳剂1-2种；制定配套应用规程2套以上。项目实施期间，示范推广面积不少于300亩，实现化学农药减量施用20%，线虫防效达70%以上。申报发明专利2件，发表高水平论文3-5篇。</w:t>
      </w:r>
    </w:p>
    <w:p>
      <w:pPr>
        <w:widowControl w:val="0"/>
        <w:adjustRightInd/>
        <w:snapToGrid/>
        <w:spacing w:after="0"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拟支持项目1项，支持金额不超过120万元。</w:t>
      </w:r>
    </w:p>
    <w:p>
      <w:pPr>
        <w:widowControl w:val="0"/>
        <w:adjustRightInd/>
        <w:snapToGrid/>
        <w:spacing w:after="0" w:line="580" w:lineRule="exact"/>
        <w:ind w:firstLine="643" w:firstLineChars="200"/>
        <w:jc w:val="both"/>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方向2：生物科技防控产品开发及智慧监测关键技术研究</w:t>
      </w:r>
    </w:p>
    <w:p>
      <w:pPr>
        <w:widowControl w:val="0"/>
        <w:adjustRightInd/>
        <w:snapToGrid/>
        <w:spacing w:after="0" w:line="580" w:lineRule="exact"/>
        <w:ind w:firstLine="643" w:firstLineChars="200"/>
        <w:jc w:val="both"/>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研究内容：</w:t>
      </w:r>
      <w:r>
        <w:rPr>
          <w:rFonts w:hint="eastAsia" w:ascii="仿宋_GB2312" w:hAnsi="Calibri" w:eastAsia="仿宋_GB2312" w:cs="仿宋_GB2312"/>
          <w:color w:val="000000"/>
          <w:kern w:val="2"/>
          <w:sz w:val="32"/>
          <w:szCs w:val="32"/>
        </w:rPr>
        <w:t>针对目前农作物病虫害防治水平低，缺乏科学指导问题，建立高标准智能生态农作物产业，采用纳米和缓释技术，开发生物杀虫农药阿维菌素及甲维盐高含量增效复配产品，推动生物农药使用；采用构建空间位阻技术，开发易混配型飞防氨基寡糖素制剂及高含量产品；采用螯合技术，开发高含量微量元素水溶肥及生物杀菌剂苦参碱和有机铜制剂；采用浓缩技术，开发海藻肥新工艺；采用物联信息技术，开发墒情，虫情，天气，水肥一体化的智能监控系统平台，促进农业生产的减肥、减药与绿色防控相结合的可持续发展，保障农产品产量和品质的安全。</w:t>
      </w:r>
    </w:p>
    <w:p>
      <w:pPr>
        <w:widowControl w:val="0"/>
        <w:adjustRightInd/>
        <w:snapToGrid/>
        <w:spacing w:after="0" w:line="580" w:lineRule="exact"/>
        <w:ind w:firstLine="641"/>
        <w:jc w:val="both"/>
        <w:rPr>
          <w:rFonts w:ascii="仿宋_GB2312" w:hAnsi="Calibri" w:eastAsia="仿宋_GB2312" w:cs="仿宋_GB2312"/>
          <w:color w:val="000000"/>
          <w:kern w:val="2"/>
          <w:sz w:val="32"/>
          <w:szCs w:val="32"/>
        </w:rPr>
      </w:pPr>
      <w:r>
        <w:rPr>
          <w:rFonts w:hint="eastAsia" w:ascii="Times New Roman" w:hAnsi="Times New Roman" w:eastAsia="仿宋_GB2312" w:cs="Times New Roman"/>
          <w:b/>
          <w:bCs/>
          <w:kern w:val="2"/>
          <w:sz w:val="32"/>
          <w:szCs w:val="32"/>
        </w:rPr>
        <w:t>考核指标：</w:t>
      </w:r>
      <w:r>
        <w:rPr>
          <w:rFonts w:hint="eastAsia" w:ascii="仿宋_GB2312" w:hAnsi="Calibri" w:eastAsia="仿宋_GB2312" w:cs="仿宋_GB2312"/>
          <w:color w:val="000000"/>
          <w:kern w:val="2"/>
          <w:sz w:val="32"/>
          <w:szCs w:val="32"/>
        </w:rPr>
        <w:t>阿维菌素及甲维盐高含量增效复配产品纳米制剂粒径D95在200 nm以内，缓释制剂完全释放大于90天；氨基寡糖平均分子量在600-800，混配型飞防氨基寡糖素制剂及高含量产品混配小于30倍稀释无絮凝出现；开发含量大于680 g/L并含5种以上微量元素的水溶肥1个；生物杀菌剂苦参碱药肥一体产品2-3个，开发含量高于23%的松脂酸铜水乳剂，海藻肥海藻酸含量大于32%；建立数字化绿色植保综合管理系统并试点应用，系统包括墒情，虫情，天气预测和水肥一体化浇灌设备等，虫情准确率大于95%，天气预报红色预警准确率100%，水肥一体化节水不少于55%；项目实施期间，新增生产线不少于2条，增加销售额不少于2亿元，生产示范面积200亩以上；申请发明专利不少于2项，实用新型专利5项以上，增加社会就业不少于30名。</w:t>
      </w:r>
    </w:p>
    <w:p>
      <w:pPr>
        <w:widowControl w:val="0"/>
        <w:adjustRightInd/>
        <w:snapToGrid/>
        <w:spacing w:after="0" w:line="580" w:lineRule="exact"/>
        <w:ind w:firstLine="641"/>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拟支持项目1项，支持金额不超过120万元。</w:t>
      </w:r>
    </w:p>
    <w:p>
      <w:pPr>
        <w:widowControl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方向3：空气氧化制备1-(4-氯苯基)-3-吡唑醇连续流工艺技术开发及产业化示范</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针对双氧水氧化1-(4-氯苯基)吡唑烷-3-酮合成1-(4-氯苯基)-3-吡唑醇生产工艺存在的安全隐患大、生产成本高、三废排放量大、产物易过度氧化导致收率低品质差等缺陷，研发空气氧化1-(4-氯苯基)吡唑烷-3-酮制备1-(4-氯苯基)-3-吡唑醇高效催化剂制备技术、清洁生产工艺技术及连续流技术与装备；开发高效废弃物资源化利用技术，回收高含量溴素及钠盐；完成空气氧化制备1-（4-氯苯基）-3-吡唑醇连续流工艺技术开发及产业化示范。</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宋体" w:eastAsia="仿宋_GB2312" w:cs="楷体_GB2312"/>
          <w:b/>
          <w:kern w:val="2"/>
          <w:sz w:val="32"/>
          <w:szCs w:val="32"/>
        </w:rPr>
        <w:t>考核指标：</w:t>
      </w:r>
      <w:r>
        <w:rPr>
          <w:rFonts w:hint="eastAsia" w:ascii="仿宋_GB2312" w:hAnsi="仿宋_GB2312" w:eastAsia="仿宋_GB2312" w:cs="仿宋_GB2312"/>
          <w:kern w:val="2"/>
          <w:sz w:val="32"/>
          <w:szCs w:val="32"/>
        </w:rPr>
        <w:t>开发空气氧化制备1-(4-氯苯基)-3-吡唑醇清洁生产工艺技术，替换原有的双氧水氧化工艺。产品收率90%以上（以1-(4-氯苯基)吡唑烷-3-酮计），成本降低10%以上；开发连续流生产工艺技术及装备，实现工业化连续性生产，实现企业本质安全，降低能源消耗20%以上；开发高回收溴素及硫酸钠工艺技术，减少废水排放30%以上；建成年产2000吨吡唑醇产业化示范装置1套，达产后实现年节约成本不低于2000万元，减排废水5000吨以上；申报专利不少于10项；开发科研助理岗位不少于</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个。</w:t>
      </w:r>
    </w:p>
    <w:p>
      <w:pPr>
        <w:widowControl w:val="0"/>
        <w:adjustRightInd/>
        <w:snapToGrid/>
        <w:spacing w:after="0" w:line="580" w:lineRule="exact"/>
        <w:ind w:firstLine="641"/>
        <w:jc w:val="both"/>
        <w:rPr>
          <w:rFonts w:ascii="FangSong_GB2312" w:hAnsi="宋体" w:eastAsia="FangSong_GB2312" w:cs="KaiTi_GB2312"/>
          <w:b/>
          <w:kern w:val="2"/>
          <w:sz w:val="32"/>
          <w:szCs w:val="32"/>
        </w:rPr>
      </w:pPr>
      <w:r>
        <w:rPr>
          <w:rFonts w:hint="eastAsia" w:ascii="仿宋_GB2312" w:hAnsi="仿宋_GB2312" w:eastAsia="仿宋_GB2312" w:cs="仿宋_GB2312"/>
          <w:kern w:val="2"/>
          <w:sz w:val="32"/>
          <w:szCs w:val="32"/>
        </w:rPr>
        <w:t>拟支持项目1项，支持金额不超过120万元。</w:t>
      </w:r>
    </w:p>
    <w:p>
      <w:pPr>
        <w:widowControl w:val="0"/>
        <w:adjustRightInd/>
        <w:snapToGrid/>
        <w:spacing w:after="0" w:line="580" w:lineRule="exact"/>
        <w:ind w:firstLine="643" w:firstLineChars="200"/>
        <w:jc w:val="both"/>
        <w:rPr>
          <w:rFonts w:ascii="楷体_GB2312" w:hAnsi="宋体" w:eastAsia="楷体_GB2312" w:cs="Calibri"/>
          <w:b/>
          <w:kern w:val="2"/>
          <w:sz w:val="32"/>
          <w:szCs w:val="32"/>
        </w:rPr>
      </w:pPr>
      <w:r>
        <w:rPr>
          <w:rFonts w:hint="eastAsia" w:ascii="仿宋_GB2312" w:hAnsi="仿宋_GB2312" w:eastAsia="仿宋_GB2312" w:cs="仿宋_GB2312"/>
          <w:b/>
          <w:bCs/>
          <w:kern w:val="2"/>
          <w:sz w:val="32"/>
          <w:szCs w:val="32"/>
        </w:rPr>
        <w:t>方向4：两亲性可降解包覆膜对微生物菌剂保护、润湿与分生孢子吸附保存研究及其产业化应用</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研究内容：</w:t>
      </w:r>
      <w:r>
        <w:rPr>
          <w:rFonts w:hint="eastAsia" w:ascii="仿宋_GB2312" w:hAnsi="仿宋_GB2312" w:eastAsia="仿宋_GB2312" w:cs="仿宋_GB2312"/>
          <w:kern w:val="2"/>
          <w:sz w:val="32"/>
          <w:szCs w:val="32"/>
        </w:rPr>
        <w:t>针对微生物菌剂稳定性差、速效性难以调控，亲水性可降解材料与疏水性微生物菌剂亲和性差异大，难以被微生物菌剂均匀吸附成膜等问题，采用两亲性共聚材料设计、合成、改性技术，微生物菌剂活化、增殖技术，可降解材料原位成膜技术，研究共聚物分子链结构与其两亲性间的构效关系，开发两亲性可调、润湿效果较好、缓控性和稳定性理想的，高性能两亲性可降解微生物菌剂（哈茨木霉、拜赖青霉、黑曲霉等）包覆膜产品及其生产技术，为青岛市打造高质量农作物产业提供绿色、高效的微生物肥料。</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考核指标：</w:t>
      </w:r>
      <w:r>
        <w:rPr>
          <w:rFonts w:hint="eastAsia" w:ascii="仿宋_GB2312" w:hAnsi="仿宋_GB2312" w:eastAsia="仿宋_GB2312" w:cs="仿宋_GB2312"/>
          <w:kern w:val="2"/>
          <w:sz w:val="32"/>
          <w:szCs w:val="32"/>
        </w:rPr>
        <w:t>开发两亲性包覆型微生物菌剂新产品3项、新工艺1项，产品吸水性≥180g/g，包覆膜强度≥40N，有效活菌数≥10×10</w:t>
      </w:r>
      <w:r>
        <w:rPr>
          <w:rFonts w:hint="eastAsia" w:ascii="仿宋_GB2312" w:hAnsi="仿宋_GB2312" w:eastAsia="仿宋_GB2312" w:cs="仿宋_GB2312"/>
          <w:kern w:val="2"/>
          <w:sz w:val="32"/>
          <w:szCs w:val="32"/>
          <w:vertAlign w:val="superscript"/>
        </w:rPr>
        <w:t>9</w:t>
      </w:r>
      <w:r>
        <w:rPr>
          <w:rFonts w:hint="eastAsia" w:ascii="仿宋_GB2312" w:hAnsi="仿宋_GB2312" w:eastAsia="仿宋_GB2312" w:cs="仿宋_GB2312"/>
          <w:kern w:val="2"/>
          <w:sz w:val="32"/>
          <w:szCs w:val="32"/>
        </w:rPr>
        <w:t>cfu/g(0 d)且≥9.5×10</w:t>
      </w:r>
      <w:r>
        <w:rPr>
          <w:rFonts w:hint="eastAsia" w:ascii="仿宋_GB2312" w:hAnsi="仿宋_GB2312" w:eastAsia="仿宋_GB2312" w:cs="仿宋_GB2312"/>
          <w:kern w:val="2"/>
          <w:sz w:val="32"/>
          <w:szCs w:val="32"/>
          <w:vertAlign w:val="superscript"/>
        </w:rPr>
        <w:t xml:space="preserve">9 </w:t>
      </w:r>
      <w:r>
        <w:rPr>
          <w:rFonts w:hint="eastAsia" w:ascii="仿宋_GB2312" w:hAnsi="仿宋_GB2312" w:eastAsia="仿宋_GB2312" w:cs="仿宋_GB2312"/>
          <w:kern w:val="2"/>
          <w:sz w:val="32"/>
          <w:szCs w:val="32"/>
        </w:rPr>
        <w:t>cfu/g(120 d)；与未施加改性微生物菌剂肥料的对照组相比，</w:t>
      </w:r>
      <w:r>
        <w:rPr>
          <w:rFonts w:hint="eastAsia" w:ascii="仿宋_GB2312" w:hAnsi="Calibri" w:eastAsia="仿宋_GB2312" w:cs="仿宋_GB2312"/>
          <w:bCs/>
          <w:kern w:val="2"/>
          <w:sz w:val="32"/>
          <w:szCs w:val="32"/>
        </w:rPr>
        <w:t>黄瓜、辣椒、小白菜的亩</w:t>
      </w:r>
      <w:r>
        <w:rPr>
          <w:rFonts w:hint="eastAsia" w:ascii="仿宋_GB2312" w:hAnsi="仿宋_GB2312" w:eastAsia="仿宋_GB2312" w:cs="仿宋_GB2312"/>
          <w:kern w:val="2"/>
          <w:sz w:val="32"/>
          <w:szCs w:val="32"/>
        </w:rPr>
        <w:t>增产率分别达到8.5%、10%和9%</w:t>
      </w:r>
      <w:r>
        <w:rPr>
          <w:rFonts w:hint="eastAsia" w:ascii="仿宋_GB2312" w:hAnsi="Calibri" w:eastAsia="仿宋_GB2312" w:cs="仿宋_GB2312"/>
          <w:bCs/>
          <w:kern w:val="2"/>
          <w:sz w:val="32"/>
          <w:szCs w:val="32"/>
        </w:rPr>
        <w:t>；</w:t>
      </w:r>
      <w:r>
        <w:rPr>
          <w:rFonts w:hint="eastAsia" w:ascii="仿宋_GB2312" w:hAnsi="仿宋_GB2312" w:eastAsia="仿宋_GB2312" w:cs="仿宋_GB2312"/>
          <w:kern w:val="2"/>
          <w:sz w:val="32"/>
          <w:szCs w:val="32"/>
        </w:rPr>
        <w:t>农作物收获后土壤质量得到改善，微生物菌群数量不低于85×10</w:t>
      </w:r>
      <w:r>
        <w:rPr>
          <w:rFonts w:hint="eastAsia" w:ascii="仿宋_GB2312" w:hAnsi="仿宋_GB2312" w:eastAsia="仿宋_GB2312" w:cs="仿宋_GB2312"/>
          <w:kern w:val="2"/>
          <w:sz w:val="32"/>
          <w:szCs w:val="32"/>
          <w:vertAlign w:val="superscript"/>
        </w:rPr>
        <w:t>6</w:t>
      </w:r>
      <w:r>
        <w:rPr>
          <w:rFonts w:hint="eastAsia" w:ascii="仿宋_GB2312" w:hAnsi="仿宋_GB2312" w:eastAsia="仿宋_GB2312" w:cs="仿宋_GB2312"/>
          <w:kern w:val="2"/>
          <w:sz w:val="32"/>
          <w:szCs w:val="32"/>
        </w:rPr>
        <w:t xml:space="preserve"> /g（熏蒸提取-容量分析法）、有机质含量不低于20 g/Kg（重铬酸钾容量法）、含水量不少于15%</w:t>
      </w:r>
      <w:r>
        <w:rPr>
          <w:rFonts w:hint="eastAsia" w:ascii="仿宋_GB2312" w:hAnsi="Calibri" w:eastAsia="仿宋_GB2312" w:cs="仿宋_GB2312"/>
          <w:bCs/>
          <w:kern w:val="2"/>
          <w:sz w:val="32"/>
          <w:szCs w:val="32"/>
        </w:rPr>
        <w:t>（烘干法）</w:t>
      </w:r>
      <w:r>
        <w:rPr>
          <w:rFonts w:hint="eastAsia" w:ascii="仿宋_GB2312" w:hAnsi="仿宋_GB2312" w:eastAsia="仿宋_GB2312" w:cs="仿宋_GB2312"/>
          <w:kern w:val="2"/>
          <w:sz w:val="32"/>
          <w:szCs w:val="32"/>
        </w:rPr>
        <w:t>；项目实施期内，产品实现销售额不少于1000万元；申请专利不少于5项，申报企业标准不少于3项。</w:t>
      </w:r>
    </w:p>
    <w:p>
      <w:pPr>
        <w:widowControl w:val="0"/>
        <w:adjustRightInd/>
        <w:snapToGrid/>
        <w:spacing w:after="0"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拟支持项目1项，支持金额不超过60万元。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宋体" w:eastAsia="仿宋_GB2312" w:cs="楷体_GB2312"/>
          <w:b/>
          <w:kern w:val="2"/>
          <w:sz w:val="32"/>
          <w:szCs w:val="32"/>
        </w:rPr>
        <w:t>方向5：</w:t>
      </w:r>
      <w:r>
        <w:rPr>
          <w:rFonts w:hint="eastAsia" w:ascii="仿宋_GB2312" w:hAnsi="仿宋_GB2312" w:eastAsia="仿宋_GB2312" w:cs="仿宋_GB2312"/>
          <w:b/>
          <w:bCs/>
          <w:kern w:val="2"/>
          <w:sz w:val="32"/>
          <w:szCs w:val="32"/>
        </w:rPr>
        <w:t>花生绿色高效水肥菌一体化栽培技术研究与示范</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仿宋_GB2312" w:eastAsia="仿宋_GB2312" w:cs="仿宋_GB2312"/>
          <w:b/>
          <w:bCs/>
          <w:kern w:val="2"/>
          <w:sz w:val="32"/>
          <w:szCs w:val="32"/>
        </w:rPr>
        <w:t>研究内容：</w:t>
      </w:r>
      <w:r>
        <w:rPr>
          <w:rFonts w:hint="eastAsia" w:ascii="仿宋_GB2312" w:hAnsi="宋体" w:eastAsia="仿宋_GB2312" w:cs="楷体_GB2312"/>
          <w:bCs/>
          <w:kern w:val="2"/>
          <w:sz w:val="32"/>
          <w:szCs w:val="32"/>
        </w:rPr>
        <w:t>针对青岛市花生田水肥用量大、利用率低及潜在环境危害大等生产问题，研究滴灌施肥的肥料种类、水肥用量和时间及其互作对花生产量品质、水肥利用效率、土壤微生物群落结构及面源污染物的影响，明确滴灌施肥时花生不同生育时期适宜的水溶肥类型、配比及用量，制备花生专用水溶肥套餐；研究接种根瘤菌对花生结瘤性状、根瘤固氮酶活性、氮肥效率及花生产量品质的影响，筛选适宜青岛市土壤和气候条件的花生根瘤菌，制备水肥一体化专用根瘤菌剂；建立集“增产提质”“水肥高效”“生态环保”于一体的花生水肥菌一体化栽培技术，并在青岛市花生主产区进行示范推广。</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筛选出适宜滴灌追肥的花生根瘤菌株2-3个，并制备根瘤菌剂；制备花生专用水溶肥套餐1-2个；建立水肥一体化栽培技术规程1-2个；项目实施期内，推广应用示范不少于2000亩，示范区增产不少于5%，与常规水肥一体化相比，水肥用量减少不低于8%；培训农户50人次以上；发表论文3-5篇；获得发明专利2-3项；制定团体或地方标准1-2项。</w:t>
      </w:r>
    </w:p>
    <w:p>
      <w:pPr>
        <w:widowControl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拟支持项目1项，支持金额不超过60万元。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6.智慧农业与机械装备</w:t>
      </w:r>
    </w:p>
    <w:p>
      <w:pPr>
        <w:widowControl w:val="0"/>
        <w:autoSpaceDE w:val="0"/>
        <w:autoSpaceDN w:val="0"/>
        <w:adjustRightInd/>
        <w:snapToGrid/>
        <w:spacing w:after="0" w:line="580" w:lineRule="exact"/>
        <w:ind w:firstLine="643" w:firstLineChars="200"/>
        <w:jc w:val="both"/>
        <w:rPr>
          <w:rFonts w:ascii="Times New Roman" w:hAnsi="Times New Roman" w:eastAsia="仿宋_GB2312" w:cs="Calibri"/>
          <w:kern w:val="2"/>
          <w:sz w:val="32"/>
          <w:szCs w:val="32"/>
        </w:rPr>
      </w:pPr>
      <w:r>
        <w:rPr>
          <w:rFonts w:hint="eastAsia" w:ascii="Times New Roman" w:hAnsi="Times New Roman" w:eastAsia="仿宋_GB2312" w:cs="Times New Roman"/>
          <w:b/>
          <w:bCs/>
          <w:kern w:val="2"/>
          <w:sz w:val="32"/>
          <w:szCs w:val="32"/>
        </w:rPr>
        <w:t>方向1</w:t>
      </w:r>
      <w:r>
        <w:rPr>
          <w:rFonts w:hint="eastAsia" w:ascii="仿宋_GB2312" w:hAnsi="宋体" w:eastAsia="仿宋_GB2312" w:cs="楷体_GB2312"/>
          <w:b/>
          <w:kern w:val="2"/>
          <w:sz w:val="32"/>
          <w:szCs w:val="32"/>
        </w:rPr>
        <w:t>：</w:t>
      </w:r>
      <w:r>
        <w:rPr>
          <w:rFonts w:hint="eastAsia" w:ascii="Times New Roman" w:hAnsi="Times New Roman" w:eastAsia="仿宋_GB2312" w:cs="Times New Roman"/>
          <w:b/>
          <w:bCs/>
          <w:kern w:val="2"/>
          <w:sz w:val="32"/>
          <w:szCs w:val="32"/>
        </w:rPr>
        <w:t>农作物</w:t>
      </w:r>
      <w:r>
        <w:rPr>
          <w:rFonts w:hint="eastAsia" w:ascii="Times New Roman" w:hAnsi="Times New Roman" w:eastAsia="仿宋_GB2312" w:cs="Calibri"/>
          <w:b/>
          <w:bCs/>
          <w:kern w:val="2"/>
          <w:sz w:val="32"/>
          <w:szCs w:val="32"/>
        </w:rPr>
        <w:t>重大病虫害立体监测预警关键技术研发与示范</w:t>
      </w:r>
    </w:p>
    <w:p>
      <w:pPr>
        <w:widowControl w:val="0"/>
        <w:autoSpaceDE w:val="0"/>
        <w:autoSpaceDN w:val="0"/>
        <w:adjustRightInd/>
        <w:snapToGrid/>
        <w:spacing w:after="0" w:line="580" w:lineRule="exact"/>
        <w:ind w:firstLine="643" w:firstLineChars="200"/>
        <w:jc w:val="both"/>
        <w:rPr>
          <w:rFonts w:ascii="Times New Roman" w:hAnsi="Times New Roman" w:eastAsia="仿宋_GB2312" w:cs="Calibri"/>
          <w:kern w:val="2"/>
          <w:sz w:val="32"/>
          <w:szCs w:val="32"/>
        </w:rPr>
      </w:pPr>
      <w:r>
        <w:rPr>
          <w:rFonts w:ascii="Times New Roman" w:hAnsi="Times New Roman" w:eastAsia="仿宋_GB2312" w:cs="Calibri"/>
          <w:b/>
          <w:bCs/>
          <w:kern w:val="2"/>
          <w:sz w:val="32"/>
          <w:szCs w:val="32"/>
        </w:rPr>
        <w:t>研究内容：</w:t>
      </w:r>
      <w:r>
        <w:rPr>
          <w:rFonts w:ascii="Times New Roman" w:hAnsi="Times New Roman" w:eastAsia="仿宋_GB2312" w:cs="Calibri"/>
          <w:kern w:val="2"/>
          <w:sz w:val="32"/>
          <w:szCs w:val="32"/>
        </w:rPr>
        <w:t>针对作物重大病虫害立体监测预警关键技术薄弱</w:t>
      </w:r>
      <w:r>
        <w:rPr>
          <w:rFonts w:hint="eastAsia" w:ascii="Times New Roman" w:hAnsi="Times New Roman" w:eastAsia="仿宋_GB2312" w:cs="Calibri"/>
          <w:kern w:val="2"/>
          <w:sz w:val="32"/>
          <w:szCs w:val="32"/>
        </w:rPr>
        <w:t>的</w:t>
      </w:r>
      <w:r>
        <w:rPr>
          <w:rFonts w:ascii="Times New Roman" w:hAnsi="Times New Roman" w:eastAsia="仿宋_GB2312" w:cs="Calibri"/>
          <w:kern w:val="2"/>
          <w:sz w:val="32"/>
          <w:szCs w:val="32"/>
        </w:rPr>
        <w:t>问题，</w:t>
      </w:r>
      <w:r>
        <w:rPr>
          <w:rFonts w:hint="eastAsia" w:ascii="Times New Roman" w:hAnsi="Times New Roman" w:eastAsia="仿宋_GB2312" w:cs="Calibri"/>
          <w:kern w:val="2"/>
          <w:sz w:val="32"/>
          <w:szCs w:val="32"/>
        </w:rPr>
        <w:t>研究作物</w:t>
      </w:r>
      <w:r>
        <w:rPr>
          <w:rFonts w:ascii="Times New Roman" w:hAnsi="Times New Roman" w:eastAsia="仿宋_GB2312" w:cs="Calibri"/>
          <w:kern w:val="2"/>
          <w:sz w:val="32"/>
          <w:szCs w:val="32"/>
        </w:rPr>
        <w:t>特定染病</w:t>
      </w:r>
      <w:r>
        <w:rPr>
          <w:rFonts w:hint="eastAsia" w:ascii="Times New Roman" w:hAnsi="Times New Roman" w:eastAsia="仿宋_GB2312" w:cs="Calibri"/>
          <w:kern w:val="2"/>
          <w:sz w:val="32"/>
          <w:szCs w:val="32"/>
        </w:rPr>
        <w:t>样本</w:t>
      </w:r>
      <w:r>
        <w:rPr>
          <w:rFonts w:ascii="Times New Roman" w:hAnsi="Times New Roman" w:eastAsia="仿宋_GB2312" w:cs="Calibri"/>
          <w:kern w:val="2"/>
          <w:sz w:val="32"/>
          <w:szCs w:val="32"/>
        </w:rPr>
        <w:t>的高光谱特征，</w:t>
      </w:r>
      <w:r>
        <w:rPr>
          <w:rFonts w:hint="eastAsia" w:ascii="Times New Roman" w:hAnsi="Times New Roman" w:eastAsia="仿宋_GB2312" w:cs="Calibri"/>
          <w:kern w:val="2"/>
          <w:sz w:val="32"/>
          <w:szCs w:val="32"/>
        </w:rPr>
        <w:t>开发</w:t>
      </w:r>
      <w:r>
        <w:rPr>
          <w:rFonts w:ascii="Times New Roman" w:hAnsi="Times New Roman" w:eastAsia="仿宋_GB2312" w:cs="Calibri"/>
          <w:kern w:val="2"/>
          <w:sz w:val="32"/>
          <w:szCs w:val="32"/>
        </w:rPr>
        <w:t>计算机视觉的病虫害图像处理系统；研发高</w:t>
      </w:r>
      <w:r>
        <w:rPr>
          <w:rFonts w:hint="eastAsia" w:ascii="Times New Roman" w:hAnsi="Times New Roman" w:eastAsia="仿宋_GB2312" w:cs="Calibri"/>
          <w:kern w:val="2"/>
          <w:sz w:val="32"/>
          <w:szCs w:val="32"/>
        </w:rPr>
        <w:t>精度、</w:t>
      </w:r>
      <w:r>
        <w:rPr>
          <w:rFonts w:ascii="Times New Roman" w:hAnsi="Times New Roman" w:eastAsia="仿宋_GB2312" w:cs="Calibri"/>
          <w:kern w:val="2"/>
          <w:sz w:val="32"/>
          <w:szCs w:val="32"/>
        </w:rPr>
        <w:t>长续航、稳定性高</w:t>
      </w:r>
      <w:r>
        <w:rPr>
          <w:rFonts w:hint="eastAsia" w:ascii="Times New Roman" w:hAnsi="Times New Roman" w:eastAsia="仿宋_GB2312" w:cs="Calibri"/>
          <w:kern w:val="2"/>
          <w:sz w:val="32"/>
          <w:szCs w:val="32"/>
        </w:rPr>
        <w:t>的</w:t>
      </w:r>
      <w:r>
        <w:rPr>
          <w:rFonts w:ascii="Times New Roman" w:hAnsi="Times New Roman" w:eastAsia="仿宋_GB2312" w:cs="Calibri"/>
          <w:kern w:val="2"/>
          <w:sz w:val="32"/>
          <w:szCs w:val="32"/>
        </w:rPr>
        <w:t>作物高光谱病虫害</w:t>
      </w:r>
      <w:r>
        <w:rPr>
          <w:rFonts w:hint="eastAsia" w:ascii="Times New Roman" w:hAnsi="Times New Roman" w:eastAsia="仿宋_GB2312" w:cs="Calibri"/>
          <w:kern w:val="2"/>
          <w:sz w:val="32"/>
          <w:szCs w:val="32"/>
        </w:rPr>
        <w:t>无人机-地基协同</w:t>
      </w:r>
      <w:r>
        <w:rPr>
          <w:rFonts w:ascii="Times New Roman" w:hAnsi="Times New Roman" w:eastAsia="仿宋_GB2312" w:cs="Calibri"/>
          <w:kern w:val="2"/>
          <w:sz w:val="32"/>
          <w:szCs w:val="32"/>
        </w:rPr>
        <w:t>监测</w:t>
      </w:r>
      <w:r>
        <w:rPr>
          <w:rFonts w:hint="eastAsia" w:ascii="Times New Roman" w:hAnsi="Times New Roman" w:eastAsia="仿宋_GB2312" w:cs="Calibri"/>
          <w:kern w:val="2"/>
          <w:sz w:val="32"/>
          <w:szCs w:val="32"/>
        </w:rPr>
        <w:t>平台</w:t>
      </w:r>
      <w:r>
        <w:rPr>
          <w:rFonts w:ascii="Times New Roman" w:hAnsi="Times New Roman" w:eastAsia="仿宋_GB2312" w:cs="Calibri"/>
          <w:kern w:val="2"/>
          <w:sz w:val="32"/>
          <w:szCs w:val="32"/>
        </w:rPr>
        <w:t>；</w:t>
      </w:r>
      <w:r>
        <w:rPr>
          <w:rFonts w:hint="eastAsia" w:ascii="Times New Roman" w:hAnsi="Times New Roman" w:eastAsia="仿宋_GB2312" w:cs="Calibri"/>
          <w:kern w:val="2"/>
          <w:sz w:val="32"/>
          <w:szCs w:val="32"/>
        </w:rPr>
        <w:t>融合</w:t>
      </w:r>
      <w:r>
        <w:rPr>
          <w:rFonts w:ascii="Times New Roman" w:hAnsi="Times New Roman" w:eastAsia="仿宋_GB2312" w:cs="Calibri"/>
          <w:kern w:val="2"/>
          <w:sz w:val="32"/>
          <w:szCs w:val="32"/>
        </w:rPr>
        <w:t>多源</w:t>
      </w:r>
      <w:r>
        <w:rPr>
          <w:rFonts w:hint="eastAsia" w:ascii="Times New Roman" w:hAnsi="Times New Roman" w:eastAsia="仿宋_GB2312" w:cs="Calibri"/>
          <w:kern w:val="2"/>
          <w:sz w:val="32"/>
          <w:szCs w:val="32"/>
        </w:rPr>
        <w:t>卫星多模态</w:t>
      </w:r>
      <w:r>
        <w:rPr>
          <w:rFonts w:ascii="Times New Roman" w:hAnsi="Times New Roman" w:eastAsia="仿宋_GB2312" w:cs="Calibri"/>
          <w:kern w:val="2"/>
          <w:sz w:val="32"/>
          <w:szCs w:val="32"/>
        </w:rPr>
        <w:t>遥感</w:t>
      </w:r>
      <w:r>
        <w:rPr>
          <w:rFonts w:hint="eastAsia" w:ascii="Times New Roman" w:hAnsi="Times New Roman" w:eastAsia="仿宋_GB2312" w:cs="Calibri"/>
          <w:kern w:val="2"/>
          <w:sz w:val="32"/>
          <w:szCs w:val="32"/>
        </w:rPr>
        <w:t>信息</w:t>
      </w:r>
      <w:r>
        <w:rPr>
          <w:rFonts w:ascii="Times New Roman" w:hAnsi="Times New Roman" w:eastAsia="仿宋_GB2312" w:cs="Calibri"/>
          <w:kern w:val="2"/>
          <w:sz w:val="32"/>
          <w:szCs w:val="32"/>
        </w:rPr>
        <w:t>，构建作物病虫害</w:t>
      </w:r>
      <w:r>
        <w:rPr>
          <w:rFonts w:hint="eastAsia" w:ascii="Times New Roman" w:hAnsi="Times New Roman" w:eastAsia="仿宋_GB2312" w:cs="Calibri"/>
          <w:kern w:val="2"/>
          <w:sz w:val="32"/>
          <w:szCs w:val="32"/>
        </w:rPr>
        <w:t>最优</w:t>
      </w:r>
      <w:r>
        <w:rPr>
          <w:rFonts w:ascii="Times New Roman" w:hAnsi="Times New Roman" w:eastAsia="仿宋_GB2312" w:cs="Calibri"/>
          <w:kern w:val="2"/>
          <w:sz w:val="32"/>
          <w:szCs w:val="32"/>
        </w:rPr>
        <w:t>识别</w:t>
      </w:r>
      <w:r>
        <w:rPr>
          <w:rFonts w:hint="eastAsia" w:ascii="Times New Roman" w:hAnsi="Times New Roman" w:eastAsia="仿宋_GB2312" w:cs="Calibri"/>
          <w:kern w:val="2"/>
          <w:sz w:val="32"/>
          <w:szCs w:val="32"/>
        </w:rPr>
        <w:t>体系</w:t>
      </w:r>
      <w:r>
        <w:rPr>
          <w:rFonts w:ascii="Times New Roman" w:hAnsi="Times New Roman" w:eastAsia="仿宋_GB2312" w:cs="Calibri"/>
          <w:kern w:val="2"/>
          <w:sz w:val="32"/>
          <w:szCs w:val="32"/>
        </w:rPr>
        <w:t>，实现病虫害</w:t>
      </w:r>
      <w:r>
        <w:rPr>
          <w:rFonts w:hint="eastAsia" w:ascii="Times New Roman" w:hAnsi="Times New Roman" w:eastAsia="仿宋_GB2312" w:cs="Calibri"/>
          <w:kern w:val="2"/>
          <w:sz w:val="32"/>
          <w:szCs w:val="32"/>
        </w:rPr>
        <w:t>时空</w:t>
      </w:r>
      <w:r>
        <w:rPr>
          <w:rFonts w:ascii="Times New Roman" w:hAnsi="Times New Roman" w:eastAsia="仿宋_GB2312" w:cs="Calibri"/>
          <w:kern w:val="2"/>
          <w:sz w:val="32"/>
          <w:szCs w:val="32"/>
        </w:rPr>
        <w:t>精准监测，</w:t>
      </w:r>
      <w:r>
        <w:rPr>
          <w:rFonts w:hint="eastAsia" w:ascii="Times New Roman" w:hAnsi="Times New Roman" w:eastAsia="仿宋_GB2312" w:cs="Calibri"/>
          <w:kern w:val="2"/>
          <w:sz w:val="32"/>
          <w:szCs w:val="32"/>
        </w:rPr>
        <w:t>开展</w:t>
      </w:r>
      <w:r>
        <w:rPr>
          <w:rFonts w:ascii="Times New Roman" w:hAnsi="Times New Roman" w:eastAsia="仿宋_GB2312" w:cs="Calibri"/>
          <w:kern w:val="2"/>
          <w:sz w:val="32"/>
          <w:szCs w:val="32"/>
        </w:rPr>
        <w:t>青岛</w:t>
      </w:r>
      <w:r>
        <w:rPr>
          <w:rFonts w:hint="eastAsia" w:ascii="Times New Roman" w:hAnsi="Times New Roman" w:eastAsia="仿宋_GB2312" w:cs="Calibri"/>
          <w:kern w:val="2"/>
          <w:sz w:val="32"/>
          <w:szCs w:val="32"/>
        </w:rPr>
        <w:t>市小</w:t>
      </w:r>
      <w:r>
        <w:rPr>
          <w:rFonts w:ascii="Times New Roman" w:hAnsi="Times New Roman" w:eastAsia="仿宋_GB2312" w:cs="Calibri"/>
          <w:kern w:val="2"/>
          <w:sz w:val="32"/>
          <w:szCs w:val="32"/>
        </w:rPr>
        <w:t>麦条锈病、草地贪夜蛾、苹果蠹蛾</w:t>
      </w:r>
      <w:r>
        <w:rPr>
          <w:rFonts w:hint="eastAsia" w:ascii="Times New Roman" w:hAnsi="Times New Roman" w:eastAsia="仿宋_GB2312" w:cs="Calibri"/>
          <w:kern w:val="2"/>
          <w:sz w:val="32"/>
          <w:szCs w:val="32"/>
        </w:rPr>
        <w:t>重大</w:t>
      </w:r>
      <w:r>
        <w:rPr>
          <w:rFonts w:ascii="Times New Roman" w:hAnsi="Times New Roman" w:eastAsia="仿宋_GB2312" w:cs="Calibri"/>
          <w:kern w:val="2"/>
          <w:sz w:val="32"/>
          <w:szCs w:val="32"/>
        </w:rPr>
        <w:t>病虫害示范应用；集合多源遥感联合气象、土壤、作物</w:t>
      </w:r>
      <w:r>
        <w:rPr>
          <w:rFonts w:hint="eastAsia" w:ascii="Times New Roman" w:hAnsi="Times New Roman" w:eastAsia="仿宋_GB2312" w:cs="Calibri"/>
          <w:kern w:val="2"/>
          <w:sz w:val="32"/>
          <w:szCs w:val="32"/>
        </w:rPr>
        <w:t>等信息</w:t>
      </w:r>
      <w:r>
        <w:rPr>
          <w:rFonts w:hint="eastAsia" w:ascii="Times New Roman" w:hAnsi="Times New Roman" w:eastAsia="仿宋_GB2312" w:cs="Times New Roman"/>
          <w:kern w:val="2"/>
          <w:sz w:val="32"/>
          <w:szCs w:val="32"/>
        </w:rPr>
        <w:t>及</w:t>
      </w:r>
      <w:r>
        <w:rPr>
          <w:rFonts w:ascii="Times New Roman" w:hAnsi="Times New Roman" w:eastAsia="仿宋_GB2312" w:cs="Times New Roman"/>
          <w:kern w:val="2"/>
          <w:sz w:val="32"/>
          <w:szCs w:val="32"/>
        </w:rPr>
        <w:t>AI大模型，</w:t>
      </w:r>
      <w:r>
        <w:rPr>
          <w:rFonts w:ascii="Times New Roman" w:hAnsi="Times New Roman" w:eastAsia="仿宋_GB2312" w:cs="Calibri"/>
          <w:kern w:val="2"/>
          <w:sz w:val="32"/>
          <w:szCs w:val="32"/>
        </w:rPr>
        <w:t>突破重大病虫害风险预警精准识别</w:t>
      </w:r>
      <w:r>
        <w:rPr>
          <w:rFonts w:hint="eastAsia" w:ascii="Times New Roman" w:hAnsi="Times New Roman" w:eastAsia="仿宋_GB2312" w:cs="Calibri"/>
          <w:kern w:val="2"/>
          <w:sz w:val="32"/>
          <w:szCs w:val="32"/>
        </w:rPr>
        <w:t>技术</w:t>
      </w:r>
      <w:r>
        <w:rPr>
          <w:rFonts w:ascii="Times New Roman" w:hAnsi="Times New Roman" w:eastAsia="仿宋_GB2312" w:cs="Calibri"/>
          <w:kern w:val="2"/>
          <w:sz w:val="32"/>
          <w:szCs w:val="32"/>
        </w:rPr>
        <w:t>，预测病虫害潜在发生区</w:t>
      </w:r>
      <w:r>
        <w:rPr>
          <w:rFonts w:hint="eastAsia" w:ascii="Times New Roman" w:hAnsi="Times New Roman" w:eastAsia="仿宋_GB2312" w:cs="Calibri"/>
          <w:kern w:val="2"/>
          <w:sz w:val="32"/>
          <w:szCs w:val="32"/>
        </w:rPr>
        <w:t>，</w:t>
      </w:r>
      <w:r>
        <w:rPr>
          <w:rFonts w:ascii="Times New Roman" w:hAnsi="Times New Roman" w:eastAsia="仿宋_GB2312" w:cs="Calibri"/>
          <w:kern w:val="2"/>
          <w:sz w:val="32"/>
          <w:szCs w:val="32"/>
        </w:rPr>
        <w:t>提升</w:t>
      </w:r>
      <w:r>
        <w:rPr>
          <w:rFonts w:hint="eastAsia" w:ascii="Times New Roman" w:hAnsi="Times New Roman" w:eastAsia="仿宋_GB2312" w:cs="Calibri"/>
          <w:kern w:val="2"/>
          <w:sz w:val="32"/>
          <w:szCs w:val="32"/>
        </w:rPr>
        <w:t>青岛市作物重大</w:t>
      </w:r>
      <w:r>
        <w:rPr>
          <w:rFonts w:ascii="Times New Roman" w:hAnsi="Times New Roman" w:eastAsia="仿宋_GB2312" w:cs="Calibri"/>
          <w:kern w:val="2"/>
          <w:sz w:val="32"/>
          <w:szCs w:val="32"/>
        </w:rPr>
        <w:t>病虫害精准</w:t>
      </w:r>
      <w:r>
        <w:rPr>
          <w:rFonts w:hint="eastAsia" w:ascii="Times New Roman" w:hAnsi="Times New Roman" w:eastAsia="仿宋_GB2312" w:cs="Calibri"/>
          <w:kern w:val="2"/>
          <w:sz w:val="32"/>
          <w:szCs w:val="32"/>
        </w:rPr>
        <w:t>监测</w:t>
      </w:r>
      <w:r>
        <w:rPr>
          <w:rFonts w:ascii="Times New Roman" w:hAnsi="Times New Roman" w:eastAsia="仿宋_GB2312" w:cs="Calibri"/>
          <w:kern w:val="2"/>
          <w:sz w:val="32"/>
          <w:szCs w:val="32"/>
        </w:rPr>
        <w:t>和</w:t>
      </w:r>
      <w:r>
        <w:rPr>
          <w:rFonts w:hint="eastAsia" w:ascii="Times New Roman" w:hAnsi="Times New Roman" w:eastAsia="仿宋_GB2312" w:cs="Calibri"/>
          <w:kern w:val="2"/>
          <w:sz w:val="32"/>
          <w:szCs w:val="32"/>
        </w:rPr>
        <w:t>早期</w:t>
      </w:r>
      <w:r>
        <w:rPr>
          <w:rFonts w:ascii="Times New Roman" w:hAnsi="Times New Roman" w:eastAsia="仿宋_GB2312" w:cs="Calibri"/>
          <w:kern w:val="2"/>
          <w:sz w:val="32"/>
          <w:szCs w:val="32"/>
        </w:rPr>
        <w:t>防控研判</w:t>
      </w:r>
      <w:r>
        <w:rPr>
          <w:rFonts w:hint="eastAsia" w:ascii="Times New Roman" w:hAnsi="Times New Roman" w:eastAsia="仿宋_GB2312" w:cs="Calibri"/>
          <w:kern w:val="2"/>
          <w:sz w:val="32"/>
          <w:szCs w:val="32"/>
        </w:rPr>
        <w:t>技术</w:t>
      </w:r>
      <w:r>
        <w:rPr>
          <w:rFonts w:ascii="Times New Roman" w:hAnsi="Times New Roman" w:eastAsia="仿宋_GB2312" w:cs="Calibri"/>
          <w:kern w:val="2"/>
          <w:sz w:val="32"/>
          <w:szCs w:val="32"/>
        </w:rPr>
        <w:t>水平。</w:t>
      </w:r>
    </w:p>
    <w:p>
      <w:pPr>
        <w:widowControl w:val="0"/>
        <w:autoSpaceDE w:val="0"/>
        <w:autoSpaceDN w:val="0"/>
        <w:adjustRightInd/>
        <w:snapToGrid/>
        <w:spacing w:after="0" w:line="580" w:lineRule="exact"/>
        <w:ind w:firstLine="643" w:firstLineChars="200"/>
        <w:jc w:val="both"/>
        <w:rPr>
          <w:rFonts w:ascii="Times New Roman" w:hAnsi="Times New Roman" w:eastAsia="仿宋_GB2312" w:cs="Calibri"/>
          <w:kern w:val="2"/>
          <w:sz w:val="32"/>
          <w:szCs w:val="32"/>
        </w:rPr>
      </w:pPr>
      <w:r>
        <w:rPr>
          <w:rFonts w:ascii="Times New Roman" w:hAnsi="Times New Roman" w:eastAsia="仿宋_GB2312" w:cs="Calibri"/>
          <w:b/>
          <w:bCs/>
          <w:kern w:val="2"/>
          <w:sz w:val="32"/>
          <w:szCs w:val="32"/>
        </w:rPr>
        <w:t>考核指标：</w:t>
      </w:r>
      <w:r>
        <w:rPr>
          <w:rFonts w:ascii="Times New Roman" w:hAnsi="Times New Roman" w:eastAsia="仿宋_GB2312" w:cs="Calibri"/>
          <w:kern w:val="2"/>
          <w:sz w:val="32"/>
          <w:szCs w:val="32"/>
        </w:rPr>
        <w:t>研发室内作物病虫害图像采集处理监测系统，作物病虫害检测数据库含</w:t>
      </w:r>
      <w:r>
        <w:rPr>
          <w:rFonts w:hint="eastAsia" w:ascii="Times New Roman" w:hAnsi="Times New Roman" w:eastAsia="仿宋_GB2312" w:cs="Calibri"/>
          <w:kern w:val="2"/>
          <w:sz w:val="32"/>
          <w:szCs w:val="32"/>
        </w:rPr>
        <w:t>不少于</w:t>
      </w:r>
      <w:r>
        <w:rPr>
          <w:rFonts w:ascii="Times New Roman" w:hAnsi="Times New Roman" w:eastAsia="仿宋_GB2312" w:cs="Calibri"/>
          <w:kern w:val="2"/>
          <w:sz w:val="32"/>
          <w:szCs w:val="32"/>
        </w:rPr>
        <w:t>30种病虫害</w:t>
      </w:r>
      <w:r>
        <w:rPr>
          <w:rFonts w:hint="eastAsia" w:ascii="Times New Roman" w:hAnsi="Times New Roman" w:eastAsia="仿宋_GB2312" w:cs="Calibri"/>
          <w:kern w:val="2"/>
          <w:sz w:val="32"/>
          <w:szCs w:val="32"/>
        </w:rPr>
        <w:t>、</w:t>
      </w:r>
      <w:r>
        <w:rPr>
          <w:rFonts w:ascii="Times New Roman" w:hAnsi="Times New Roman" w:eastAsia="仿宋_GB2312" w:cs="Calibri"/>
          <w:kern w:val="2"/>
          <w:sz w:val="32"/>
          <w:szCs w:val="32"/>
        </w:rPr>
        <w:t>标准样本库1万条</w:t>
      </w:r>
      <w:r>
        <w:rPr>
          <w:rFonts w:hint="eastAsia" w:ascii="Times New Roman" w:hAnsi="Times New Roman" w:eastAsia="仿宋_GB2312" w:cs="Calibri"/>
          <w:kern w:val="2"/>
          <w:sz w:val="32"/>
          <w:szCs w:val="32"/>
        </w:rPr>
        <w:t>以上</w:t>
      </w:r>
      <w:r>
        <w:rPr>
          <w:rFonts w:ascii="Times New Roman" w:hAnsi="Times New Roman" w:eastAsia="仿宋_GB2312" w:cs="Calibri"/>
          <w:kern w:val="2"/>
          <w:sz w:val="32"/>
          <w:szCs w:val="32"/>
        </w:rPr>
        <w:t>；研发飞行持久、稳定性高和可操作性强的无人机</w:t>
      </w:r>
      <w:r>
        <w:rPr>
          <w:rFonts w:hint="eastAsia" w:ascii="Times New Roman" w:hAnsi="Times New Roman" w:eastAsia="仿宋_GB2312" w:cs="Calibri"/>
          <w:kern w:val="2"/>
          <w:sz w:val="32"/>
          <w:szCs w:val="32"/>
        </w:rPr>
        <w:t>监测</w:t>
      </w:r>
      <w:r>
        <w:rPr>
          <w:rFonts w:ascii="Times New Roman" w:hAnsi="Times New Roman" w:eastAsia="仿宋_GB2312" w:cs="Calibri"/>
          <w:kern w:val="2"/>
          <w:sz w:val="32"/>
          <w:szCs w:val="32"/>
        </w:rPr>
        <w:t>平台，</w:t>
      </w:r>
      <w:r>
        <w:rPr>
          <w:rFonts w:ascii="Times New Roman" w:hAnsi="Times New Roman" w:eastAsia="仿宋_GB2312" w:cs="Times New Roman"/>
          <w:kern w:val="2"/>
          <w:sz w:val="32"/>
          <w:szCs w:val="32"/>
        </w:rPr>
        <w:t>病虫害监测精度达到 90%以上，空间分辨率10m</w:t>
      </w:r>
      <w:r>
        <w:rPr>
          <w:rFonts w:hint="eastAsia" w:ascii="Times New Roman" w:hAnsi="Times New Roman" w:eastAsia="仿宋_GB2312" w:cs="Times New Roman"/>
          <w:kern w:val="2"/>
          <w:sz w:val="32"/>
          <w:szCs w:val="32"/>
        </w:rPr>
        <w:t>，提供</w:t>
      </w:r>
      <w:r>
        <w:rPr>
          <w:rFonts w:ascii="Times New Roman" w:hAnsi="Times New Roman" w:eastAsia="仿宋_GB2312" w:cs="Times New Roman"/>
          <w:kern w:val="2"/>
          <w:sz w:val="32"/>
          <w:szCs w:val="32"/>
        </w:rPr>
        <w:t>田间高光谱病虫害样本数据集</w:t>
      </w:r>
      <w:r>
        <w:rPr>
          <w:rFonts w:hint="eastAsia" w:ascii="Times New Roman" w:hAnsi="Times New Roman" w:eastAsia="仿宋_GB2312" w:cs="Times New Roman"/>
          <w:kern w:val="2"/>
          <w:sz w:val="32"/>
          <w:szCs w:val="32"/>
        </w:rPr>
        <w:t>不少于</w:t>
      </w:r>
      <w:r>
        <w:rPr>
          <w:rFonts w:ascii="Times New Roman" w:hAnsi="Times New Roman" w:eastAsia="仿宋_GB2312" w:cs="Times New Roman"/>
          <w:kern w:val="2"/>
          <w:sz w:val="32"/>
          <w:szCs w:val="32"/>
        </w:rPr>
        <w:t>5000条；</w:t>
      </w:r>
      <w:r>
        <w:rPr>
          <w:rFonts w:hint="eastAsia" w:ascii="Times New Roman" w:hAnsi="Times New Roman" w:eastAsia="仿宋_GB2312" w:cs="Times New Roman"/>
          <w:kern w:val="2"/>
          <w:sz w:val="32"/>
          <w:szCs w:val="32"/>
        </w:rPr>
        <w:t>构建</w:t>
      </w:r>
      <w:r>
        <w:rPr>
          <w:rFonts w:ascii="Times New Roman" w:hAnsi="Times New Roman" w:eastAsia="仿宋_GB2312" w:cs="Times New Roman"/>
          <w:kern w:val="2"/>
          <w:sz w:val="32"/>
          <w:szCs w:val="32"/>
        </w:rPr>
        <w:t>作物病虫害</w:t>
      </w:r>
      <w:r>
        <w:rPr>
          <w:rFonts w:hint="eastAsia" w:ascii="Times New Roman" w:hAnsi="Times New Roman" w:eastAsia="仿宋_GB2312" w:cs="Times New Roman"/>
          <w:kern w:val="2"/>
          <w:sz w:val="32"/>
          <w:szCs w:val="32"/>
        </w:rPr>
        <w:t>最优</w:t>
      </w:r>
      <w:r>
        <w:rPr>
          <w:rFonts w:ascii="Times New Roman" w:hAnsi="Times New Roman" w:eastAsia="仿宋_GB2312" w:cs="Times New Roman"/>
          <w:kern w:val="2"/>
          <w:sz w:val="32"/>
          <w:szCs w:val="32"/>
        </w:rPr>
        <w:t>识别指数，</w:t>
      </w:r>
      <w:r>
        <w:rPr>
          <w:rFonts w:hint="eastAsia" w:ascii="Times New Roman" w:hAnsi="Times New Roman" w:eastAsia="仿宋_GB2312" w:cs="Times New Roman"/>
          <w:kern w:val="2"/>
          <w:sz w:val="32"/>
          <w:szCs w:val="32"/>
        </w:rPr>
        <w:t>开展大范围、连续、动态作物病虫害监测，</w:t>
      </w:r>
      <w:r>
        <w:rPr>
          <w:rFonts w:ascii="Times New Roman" w:hAnsi="Times New Roman" w:eastAsia="仿宋_GB2312" w:cs="Times New Roman"/>
          <w:kern w:val="2"/>
          <w:sz w:val="32"/>
          <w:szCs w:val="32"/>
        </w:rPr>
        <w:t>监测精度85%以上，空间分辨率10m，时效&lt;4d；给出青岛</w:t>
      </w:r>
      <w:r>
        <w:rPr>
          <w:rFonts w:hint="eastAsia" w:ascii="Times New Roman" w:hAnsi="Times New Roman" w:eastAsia="仿宋_GB2312" w:cs="Times New Roman"/>
          <w:kern w:val="2"/>
          <w:sz w:val="32"/>
          <w:szCs w:val="32"/>
        </w:rPr>
        <w:t>重大</w:t>
      </w:r>
      <w:r>
        <w:rPr>
          <w:rFonts w:ascii="Times New Roman" w:hAnsi="Times New Roman" w:eastAsia="仿宋_GB2312" w:cs="Times New Roman"/>
          <w:kern w:val="2"/>
          <w:sz w:val="32"/>
          <w:szCs w:val="32"/>
        </w:rPr>
        <w:t>作物病虫害预警分布“一张图”，</w:t>
      </w:r>
      <w:r>
        <w:rPr>
          <w:rFonts w:hint="eastAsia" w:ascii="Times New Roman" w:hAnsi="Times New Roman" w:eastAsia="仿宋_GB2312" w:cs="Times New Roman"/>
          <w:kern w:val="2"/>
          <w:sz w:val="32"/>
          <w:szCs w:val="32"/>
        </w:rPr>
        <w:t>实现</w:t>
      </w:r>
      <w:r>
        <w:rPr>
          <w:rFonts w:ascii="Times New Roman" w:hAnsi="Times New Roman" w:eastAsia="仿宋_GB2312" w:cs="Times New Roman"/>
          <w:kern w:val="2"/>
          <w:sz w:val="32"/>
          <w:szCs w:val="32"/>
        </w:rPr>
        <w:t>高</w:t>
      </w:r>
      <w:r>
        <w:rPr>
          <w:rFonts w:hint="eastAsia" w:ascii="Times New Roman" w:hAnsi="Times New Roman" w:eastAsia="仿宋_GB2312" w:cs="Times New Roman"/>
          <w:kern w:val="2"/>
          <w:sz w:val="32"/>
          <w:szCs w:val="32"/>
        </w:rPr>
        <w:t>精度</w:t>
      </w:r>
      <w:r>
        <w:rPr>
          <w:rFonts w:ascii="Times New Roman" w:hAnsi="Times New Roman" w:eastAsia="仿宋_GB2312" w:cs="Times New Roman"/>
          <w:kern w:val="2"/>
          <w:sz w:val="32"/>
          <w:szCs w:val="32"/>
        </w:rPr>
        <w:t>虫害生境评估、繁殖区监测和危害空间信息</w:t>
      </w:r>
      <w:r>
        <w:rPr>
          <w:rFonts w:hint="eastAsia" w:ascii="Times New Roman" w:hAnsi="Times New Roman" w:eastAsia="仿宋_GB2312" w:cs="Times New Roman"/>
          <w:kern w:val="2"/>
          <w:sz w:val="32"/>
          <w:szCs w:val="32"/>
        </w:rPr>
        <w:t>管理；</w:t>
      </w:r>
      <w:r>
        <w:rPr>
          <w:rFonts w:ascii="Times New Roman" w:hAnsi="Times New Roman" w:eastAsia="仿宋_GB2312" w:cs="Calibri"/>
          <w:kern w:val="2"/>
          <w:sz w:val="32"/>
          <w:szCs w:val="32"/>
        </w:rPr>
        <w:t>在青岛</w:t>
      </w:r>
      <w:r>
        <w:rPr>
          <w:rFonts w:hint="eastAsia" w:ascii="Times New Roman" w:hAnsi="Times New Roman" w:eastAsia="仿宋_GB2312" w:cs="Calibri"/>
          <w:kern w:val="2"/>
          <w:sz w:val="32"/>
          <w:szCs w:val="32"/>
        </w:rPr>
        <w:t>市不少于</w:t>
      </w:r>
      <w:r>
        <w:rPr>
          <w:rFonts w:ascii="Times New Roman" w:hAnsi="Times New Roman" w:eastAsia="仿宋_GB2312" w:cs="Calibri"/>
          <w:kern w:val="2"/>
          <w:sz w:val="32"/>
          <w:szCs w:val="32"/>
        </w:rPr>
        <w:t>5个种植区</w:t>
      </w:r>
      <w:r>
        <w:rPr>
          <w:rFonts w:hint="eastAsia" w:ascii="Times New Roman" w:hAnsi="Times New Roman" w:eastAsia="仿宋_GB2312" w:cs="Calibri"/>
          <w:kern w:val="2"/>
          <w:sz w:val="32"/>
          <w:szCs w:val="32"/>
        </w:rPr>
        <w:t>进行</w:t>
      </w:r>
      <w:r>
        <w:rPr>
          <w:rFonts w:ascii="Times New Roman" w:hAnsi="Times New Roman" w:eastAsia="仿宋_GB2312" w:cs="Calibri"/>
          <w:kern w:val="2"/>
          <w:sz w:val="32"/>
          <w:szCs w:val="32"/>
        </w:rPr>
        <w:t>病虫害监测示范应用, 范围</w:t>
      </w:r>
      <w:r>
        <w:rPr>
          <w:rFonts w:hint="eastAsia" w:ascii="Times New Roman" w:hAnsi="Times New Roman" w:eastAsia="仿宋_GB2312" w:cs="Calibri"/>
          <w:kern w:val="2"/>
          <w:sz w:val="32"/>
          <w:szCs w:val="32"/>
        </w:rPr>
        <w:t>不少于</w:t>
      </w:r>
      <w:r>
        <w:rPr>
          <w:rFonts w:ascii="Times New Roman" w:hAnsi="Times New Roman" w:eastAsia="仿宋_GB2312" w:cs="Calibri"/>
          <w:kern w:val="2"/>
          <w:sz w:val="32"/>
          <w:szCs w:val="32"/>
        </w:rPr>
        <w:t>10000亩；申请专利 3 项、软件著作权不少于 2 项，制定行业标准不少于 1 件</w:t>
      </w:r>
      <w:r>
        <w:rPr>
          <w:rFonts w:hint="eastAsia" w:ascii="Times New Roman" w:hAnsi="Times New Roman" w:eastAsia="仿宋_GB2312" w:cs="Calibri"/>
          <w:kern w:val="2"/>
          <w:sz w:val="32"/>
          <w:szCs w:val="32"/>
        </w:rPr>
        <w:t>，</w:t>
      </w:r>
      <w:r>
        <w:rPr>
          <w:rFonts w:ascii="Times New Roman" w:hAnsi="Times New Roman" w:eastAsia="仿宋_GB2312" w:cs="Calibri"/>
          <w:kern w:val="2"/>
          <w:sz w:val="32"/>
          <w:szCs w:val="32"/>
        </w:rPr>
        <w:t>发表</w:t>
      </w:r>
      <w:r>
        <w:rPr>
          <w:rFonts w:hint="eastAsia" w:ascii="Times New Roman" w:hAnsi="Times New Roman" w:eastAsia="仿宋_GB2312" w:cs="Calibri"/>
          <w:kern w:val="2"/>
          <w:sz w:val="32"/>
          <w:szCs w:val="32"/>
        </w:rPr>
        <w:t>高水平</w:t>
      </w:r>
      <w:r>
        <w:rPr>
          <w:rFonts w:ascii="Times New Roman" w:hAnsi="Times New Roman" w:eastAsia="仿宋_GB2312" w:cs="Calibri"/>
          <w:kern w:val="2"/>
          <w:sz w:val="32"/>
          <w:szCs w:val="32"/>
        </w:rPr>
        <w:t>论文</w:t>
      </w:r>
      <w:r>
        <w:rPr>
          <w:rFonts w:hint="eastAsia" w:ascii="Times New Roman" w:hAnsi="Times New Roman" w:eastAsia="仿宋_GB2312" w:cs="Calibri"/>
          <w:kern w:val="2"/>
          <w:sz w:val="32"/>
          <w:szCs w:val="32"/>
        </w:rPr>
        <w:t>3-5</w:t>
      </w:r>
      <w:r>
        <w:rPr>
          <w:rFonts w:ascii="Times New Roman" w:hAnsi="Times New Roman" w:eastAsia="仿宋_GB2312" w:cs="Calibri"/>
          <w:kern w:val="2"/>
          <w:sz w:val="32"/>
          <w:szCs w:val="32"/>
        </w:rPr>
        <w:t>篇</w:t>
      </w:r>
      <w:r>
        <w:rPr>
          <w:rFonts w:hint="eastAsia" w:ascii="Times New Roman" w:hAnsi="Times New Roman" w:eastAsia="仿宋_GB2312" w:cs="Calibri"/>
          <w:kern w:val="2"/>
          <w:sz w:val="32"/>
          <w:szCs w:val="32"/>
        </w:rPr>
        <w:t>，</w:t>
      </w:r>
      <w:r>
        <w:rPr>
          <w:rFonts w:ascii="Times New Roman" w:hAnsi="Times New Roman" w:eastAsia="仿宋_GB2312" w:cs="Calibri"/>
          <w:kern w:val="2"/>
          <w:sz w:val="32"/>
          <w:szCs w:val="32"/>
        </w:rPr>
        <w:t>培养科技人员不少于 10 人，开发科研助理岗位 2 个。</w:t>
      </w:r>
    </w:p>
    <w:p>
      <w:pPr>
        <w:widowControl w:val="0"/>
        <w:autoSpaceDE w:val="0"/>
        <w:autoSpaceDN w:val="0"/>
        <w:adjustRightInd/>
        <w:snapToGrid/>
        <w:spacing w:after="0" w:line="58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拟支持项目1项，支持金额不超过120万元。</w:t>
      </w:r>
    </w:p>
    <w:p>
      <w:pPr>
        <w:widowControl w:val="0"/>
        <w:adjustRightInd/>
        <w:snapToGrid/>
        <w:spacing w:after="0" w:line="580" w:lineRule="exact"/>
        <w:ind w:firstLine="643" w:firstLineChars="200"/>
        <w:jc w:val="both"/>
        <w:rPr>
          <w:rFonts w:ascii="楷体_GB2312" w:hAnsi="宋体" w:eastAsia="楷体_GB2312" w:cs="Calibri"/>
          <w:b/>
          <w:color w:val="000000"/>
          <w:kern w:val="2"/>
          <w:sz w:val="32"/>
          <w:szCs w:val="32"/>
        </w:rPr>
      </w:pPr>
      <w:r>
        <w:rPr>
          <w:rFonts w:hint="eastAsia" w:ascii="Times New Roman" w:hAnsi="Times New Roman" w:eastAsia="仿宋_GB2312" w:cs="Times New Roman"/>
          <w:b/>
          <w:bCs/>
          <w:kern w:val="2"/>
          <w:sz w:val="32"/>
          <w:szCs w:val="32"/>
        </w:rPr>
        <w:t>方向2：高标准农田天空地一体化智慧监管技术与应用</w:t>
      </w:r>
    </w:p>
    <w:p>
      <w:pPr>
        <w:widowControl w:val="0"/>
        <w:autoSpaceDE w:val="0"/>
        <w:autoSpaceDN w:val="0"/>
        <w:adjustRightInd/>
        <w:snapToGrid/>
        <w:spacing w:after="0" w:line="580" w:lineRule="exact"/>
        <w:ind w:firstLine="643" w:firstLineChars="200"/>
        <w:jc w:val="both"/>
        <w:rPr>
          <w:rFonts w:ascii="Times New Roman Regular" w:hAnsi="Times New Roman Regular" w:eastAsia="仿宋_GB2312" w:cs="Times New Roman Regular"/>
          <w:b/>
          <w:bCs/>
          <w:kern w:val="2"/>
          <w:sz w:val="24"/>
          <w:szCs w:val="24"/>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针对高标准农田“精准—智能—动态”监测监管技术缺乏、难以支撑“良田粮用”的突出问题，研究卫星遥感、航空遥感与地面传感网一体化的农田精准感知技术；研发农田基础设施智能识别技术，针对新建或改造提升高标准农田全过程构建智能监测方法；研究农作物类型、复种、轮作等农田利用动态监测技术，建立高标准农田粮食产能评估技术；研发高标准农田智慧监测监管与决策预警系统并开展示范应用，服务高标准农田“建设好、管护好、利用好”的目标。</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color w:val="000000"/>
          <w:kern w:val="2"/>
          <w:sz w:val="32"/>
          <w:szCs w:val="32"/>
        </w:rPr>
        <w:t>突破适合地块破碎、多云多雨、种植混杂等复杂场景的天空地一体化感知数据融合处理等关键技术2项以上；开发农田地块、灌溉、道路、防护林等重要设施智能识别技术不少于2项，米级分辨率识别精度优于90%；粮棉油等作物类型、复种模式、轮作方式等农田利用动态监测技术不少于2项且地块尺度监测精度优于90%；建立以实景三维数据为时空数据底座、具有自主知识产权的高标准农田智慧监测监管与决策预警系统1个，被行业主管部门认可并业务应用，在不少于2个粮食主产区进行示范应用；开发科研助理岗位不少于2个。</w:t>
      </w:r>
    </w:p>
    <w:p>
      <w:pPr>
        <w:widowControl w:val="0"/>
        <w:adjustRightInd/>
        <w:snapToGrid/>
        <w:spacing w:after="0" w:line="580" w:lineRule="exact"/>
        <w:ind w:firstLine="640" w:firstLineChars="200"/>
        <w:jc w:val="both"/>
        <w:rPr>
          <w:rFonts w:ascii="仿宋_GB2312" w:hAnsi="宋体" w:eastAsia="仿宋_GB2312" w:cs="楷体_GB2312"/>
          <w:b/>
          <w:kern w:val="2"/>
          <w:sz w:val="32"/>
          <w:szCs w:val="32"/>
        </w:rPr>
      </w:pPr>
      <w:r>
        <w:rPr>
          <w:rFonts w:hint="eastAsia" w:ascii="仿宋_GB2312" w:hAnsi="仿宋_GB2312" w:eastAsia="仿宋_GB2312" w:cs="仿宋_GB2312"/>
          <w:kern w:val="2"/>
          <w:sz w:val="32"/>
          <w:szCs w:val="32"/>
        </w:rPr>
        <w:t>拟支持项目</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项，支持金额不超过</w:t>
      </w:r>
      <w:r>
        <w:rPr>
          <w:rFonts w:ascii="仿宋_GB2312" w:hAnsi="仿宋_GB2312" w:eastAsia="仿宋_GB2312" w:cs="仿宋_GB2312"/>
          <w:kern w:val="2"/>
          <w:sz w:val="32"/>
          <w:szCs w:val="32"/>
        </w:rPr>
        <w:t>120</w:t>
      </w:r>
      <w:r>
        <w:rPr>
          <w:rFonts w:hint="eastAsia" w:ascii="仿宋_GB2312" w:hAnsi="仿宋_GB2312" w:eastAsia="仿宋_GB2312" w:cs="仿宋_GB2312"/>
          <w:kern w:val="2"/>
          <w:sz w:val="32"/>
          <w:szCs w:val="32"/>
        </w:rPr>
        <w:t>万元。</w:t>
      </w:r>
    </w:p>
    <w:p>
      <w:pPr>
        <w:widowControl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方向3：种子丸粒化关键技术集成与产业化研究</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聚焦国内种子丸粒化包覆材料及加工设备需求，针对种子丸化剂成本高、专用化差，种子丸粒化设备生产技术落后、施用技术规程不健全等问题，采用适配种子丸化的生物源促生、抗逆功能助剂，构建针对典型作物种子不同丸化需求的配方样品数据库，制备基于绿色材料的促生抗逆型种子丸化剂新产品，集成连续自动化种子丸粒化加工体系；采用适配丸粒化种子的轻简化播种机械，开展丸化种对作物增产增收效果的综合评价，建立健全种子包衣技术体系的规范化、开发抗逆性高、稳定性好、活性成分高、地域化、专用化的丸粒化包覆材料及智能化丸粒设备，推动现代种业及高端农业装备发展水平。</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开发种子丸粒化剂新产品2-3个，研发配套种子丸粒化设备1-2台/套；丸粒化种子单粒抗压强度3-8N、单籽率≥99%、有籽率≥99%、种子含水量≤8%、裂解度≥99%、均匀度≥99%、不改变农艺性状伤籽率≤1%；实现种子包衣生产的自动化和连续化，包衣效率提高200%，人工投入减少70%；在青岛地区内示范应用，示范试点不少于100亩；申请发明专利3-4件，发表论文1-2篇；培养专业人才2-3名。</w:t>
      </w:r>
    </w:p>
    <w:p>
      <w:pPr>
        <w:widowControl w:val="0"/>
        <w:adjustRightInd/>
        <w:snapToGrid/>
        <w:spacing w:after="0" w:line="580" w:lineRule="exact"/>
        <w:ind w:firstLine="640" w:firstLineChars="200"/>
        <w:jc w:val="both"/>
        <w:rPr>
          <w:rFonts w:ascii="仿宋_GB2312" w:hAnsi="宋体" w:eastAsia="仿宋_GB2312" w:cs="楷体_GB2312"/>
          <w:b/>
          <w:kern w:val="2"/>
          <w:sz w:val="32"/>
          <w:szCs w:val="32"/>
        </w:rPr>
      </w:pPr>
      <w:r>
        <w:rPr>
          <w:rFonts w:hint="eastAsia" w:ascii="仿宋_GB2312" w:hAnsi="仿宋_GB2312" w:eastAsia="仿宋_GB2312" w:cs="仿宋_GB2312"/>
          <w:kern w:val="2"/>
          <w:sz w:val="32"/>
          <w:szCs w:val="32"/>
        </w:rPr>
        <w:t>拟支持项目1项，支持金额不超过60万元。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7.科技特派员行动计划</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b/>
          <w:bCs/>
          <w:color w:val="000000"/>
          <w:kern w:val="2"/>
          <w:sz w:val="32"/>
          <w:szCs w:val="32"/>
        </w:rPr>
      </w:pPr>
      <w:r>
        <w:rPr>
          <w:rFonts w:hint="eastAsia" w:ascii="仿宋_GB2312" w:hAnsi="Calibri" w:eastAsia="仿宋_GB2312" w:cs="仿宋_GB2312"/>
          <w:b/>
          <w:bCs/>
          <w:color w:val="000000"/>
          <w:kern w:val="2"/>
          <w:sz w:val="32"/>
          <w:szCs w:val="32"/>
        </w:rPr>
        <w:t>方向</w:t>
      </w:r>
      <w:r>
        <w:rPr>
          <w:rFonts w:hint="eastAsia" w:ascii="Times New Roman" w:hAnsi="Times New Roman" w:eastAsia="仿宋_GB2312" w:cs="Times New Roman"/>
          <w:b/>
          <w:bCs/>
          <w:kern w:val="2"/>
          <w:sz w:val="32"/>
          <w:szCs w:val="32"/>
        </w:rPr>
        <w:t>1</w:t>
      </w:r>
      <w:r>
        <w:rPr>
          <w:rFonts w:hint="eastAsia" w:ascii="仿宋_GB2312" w:hAnsi="Calibri" w:eastAsia="仿宋_GB2312" w:cs="仿宋_GB2312"/>
          <w:b/>
          <w:bCs/>
          <w:color w:val="000000"/>
          <w:kern w:val="2"/>
          <w:sz w:val="32"/>
          <w:szCs w:val="32"/>
        </w:rPr>
        <w:t>：甜糯同粒鲜食玉米新品种选育与示范应用</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宋体" w:eastAsia="仿宋_GB2312" w:cs="楷体_GB2312"/>
          <w:bCs/>
          <w:kern w:val="2"/>
          <w:sz w:val="32"/>
          <w:szCs w:val="32"/>
        </w:rPr>
        <w:t>针对甜糯同粒鲜食玉米品种选育中存在的种质资源匮乏、种质资源创制手段单一、品种研发技术落后等产业技术难题，围绕甜糯同粒鲜食玉米生物育种进行研究，开展甜糯种质资源的搜集与评价，挖掘、开发甜糯同粒控制基因及分子标记，研发高效、快速育种技术，通过产学研协同创新，选育开发高质、多抗、高产的甜糯同粒鲜食玉米新品种，推动鲜食玉米良种选育能力，提升行业国际竞争力。</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构建甜糯同粒鲜食玉米种质资源选育评价体系、甜糯同粒鲜食玉米品种快速选育技术体系、甜糯同粒良种繁育技术体系、甜糯同粒种子加工处理技术体系各1套；创制甜糯同粒鲜食玉米种质资源不少于200份，开发甜糯同粒相关区段分子标记1-2个，挖掘甜糯同粒相关基因1-2个，申请发明专利不少于3件；选育甜糯新品种不少于5个，并申请植物新品种权或申请审定；项目实施期间，选育的甜糯同粒玉米新品种应用示范面积不少于1000亩，新增产值2000万元以上，引进培养专业技术人员不少于10名、开发科研助理岗位不少于20个，带动周边农民工就业100人以上。</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Cs/>
          <w:kern w:val="2"/>
          <w:sz w:val="32"/>
          <w:szCs w:val="32"/>
        </w:rPr>
      </w:pPr>
      <w:r>
        <w:rPr>
          <w:rFonts w:hint="eastAsia" w:ascii="仿宋_GB2312" w:hAnsi="宋体" w:eastAsia="仿宋_GB2312" w:cs="楷体_GB2312"/>
          <w:bCs/>
          <w:kern w:val="2"/>
          <w:sz w:val="32"/>
          <w:szCs w:val="32"/>
        </w:rPr>
        <w:t>拟支持项目</w:t>
      </w:r>
      <w:r>
        <w:rPr>
          <w:rFonts w:ascii="仿宋_GB2312" w:hAnsi="宋体" w:eastAsia="仿宋_GB2312" w:cs="楷体_GB2312"/>
          <w:bCs/>
          <w:kern w:val="2"/>
          <w:sz w:val="32"/>
          <w:szCs w:val="32"/>
        </w:rPr>
        <w:t>1</w:t>
      </w:r>
      <w:r>
        <w:rPr>
          <w:rFonts w:hint="eastAsia" w:ascii="仿宋_GB2312" w:hAnsi="宋体" w:eastAsia="仿宋_GB2312" w:cs="楷体_GB2312"/>
          <w:bCs/>
          <w:kern w:val="2"/>
          <w:sz w:val="32"/>
          <w:szCs w:val="32"/>
        </w:rPr>
        <w:t>项，支持金额不超过100万元。</w:t>
      </w:r>
    </w:p>
    <w:p>
      <w:pPr>
        <w:widowControl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2</w:t>
      </w:r>
      <w:r>
        <w:rPr>
          <w:rFonts w:hint="eastAsia" w:ascii="仿宋_GB2312" w:hAnsi="宋体" w:eastAsia="仿宋_GB2312" w:cs="楷体_GB2312"/>
          <w:b/>
          <w:kern w:val="2"/>
          <w:sz w:val="32"/>
          <w:szCs w:val="32"/>
        </w:rPr>
        <w:t>：甜瓜新品种引进筛选及栽培技术示范与应用</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宋体" w:eastAsia="仿宋_GB2312" w:cs="楷体_GB2312"/>
          <w:b/>
          <w:kern w:val="2"/>
          <w:sz w:val="32"/>
          <w:szCs w:val="32"/>
        </w:rPr>
        <w:t>研究内容：</w:t>
      </w:r>
      <w:r>
        <w:rPr>
          <w:rFonts w:hint="eastAsia" w:ascii="仿宋_GB2312" w:hAnsi="仿宋_GB2312" w:eastAsia="仿宋_GB2312" w:cs="仿宋_GB2312"/>
          <w:kern w:val="2"/>
          <w:sz w:val="32"/>
          <w:szCs w:val="32"/>
        </w:rPr>
        <w:t>针对我市甜瓜品种单一、栽培技术模式落后、品牌保护力弱等问题，开展国内外优质甜瓜品种的搜集、性状精准鉴定与评价工作，组织试种并筛选适宜的优良品种资源；为筛选品种开发配套轻简化高效栽培模式，并进行栽培技术示范、培训与推广；应用微生物改良技术，实现甜瓜种植土壤的持续高效健康利用；利用现代分子生物技术进行优良品种的DNA指纹图谱构建及特征风味品质解析，实现产区溯源，增强品牌保护力，为我市甜瓜产业升级提升，提供优良品种和栽培技术支撑。</w:t>
      </w:r>
    </w:p>
    <w:p>
      <w:pPr>
        <w:widowControl w:val="0"/>
        <w:adjustRightInd/>
        <w:snapToGrid/>
        <w:spacing w:after="0" w:line="58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考核指标：</w:t>
      </w:r>
      <w:r>
        <w:rPr>
          <w:rFonts w:hint="eastAsia" w:ascii="仿宋_GB2312" w:hAnsi="仿宋_GB2312" w:eastAsia="仿宋_GB2312" w:cs="仿宋_GB2312"/>
          <w:kern w:val="2"/>
          <w:sz w:val="32"/>
          <w:szCs w:val="32"/>
        </w:rPr>
        <w:t>收集、试种并评价甜瓜品种30份以上；筛选适宜优质甜瓜品种3-5份，鉴定品质特征代谢物至少20种；开发筛选出包含不少于20个SNP的核心标记1套，形成特定甜瓜品种DNA指纹图谱检测方案1套；开发用于甜瓜种植土壤修复的微生物功能菌剂新产品1-2个；开发配套甜瓜轻简化高效栽培模式1套；每年度培训技术从业人员200人次以上；建设优质甜瓜品种测试点2个以上，示范推广面积不少于200亩；发表高水平论文1-2篇；申请发明专利1-2项；开发科研助理岗位不少于1个。</w:t>
      </w:r>
    </w:p>
    <w:p>
      <w:pPr>
        <w:widowControl w:val="0"/>
        <w:adjustRightInd/>
        <w:snapToGrid/>
        <w:spacing w:after="0"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拟支持项目1项，支持金额不超过100万元。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方向</w:t>
      </w:r>
      <w:r>
        <w:rPr>
          <w:rFonts w:hint="eastAsia" w:ascii="Times New Roman" w:hAnsi="Times New Roman" w:eastAsia="仿宋_GB2312" w:cs="Times New Roman"/>
          <w:b/>
          <w:bCs/>
          <w:kern w:val="2"/>
          <w:sz w:val="32"/>
          <w:szCs w:val="32"/>
        </w:rPr>
        <w:t>3</w:t>
      </w:r>
      <w:r>
        <w:rPr>
          <w:rFonts w:hint="eastAsia" w:ascii="仿宋_GB2312" w:hAnsi="仿宋_GB2312" w:eastAsia="仿宋_GB2312" w:cs="仿宋_GB2312"/>
          <w:b/>
          <w:bCs/>
          <w:kern w:val="2"/>
          <w:sz w:val="32"/>
          <w:szCs w:val="32"/>
        </w:rPr>
        <w:t>：家兔基因育种技术的研究与应用</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针对我国家兔良种长期依赖国外进口，国内选育技术落后的问题，通过综合应用常规育种、分子育种、全基因组选择和信息技术，研究肉兔全基因组选择方法，利用信息采集、数据分析、选种和选配等手段，集成全基因组选择育种技术体系，精准高效的提升肉兔良种的生产性能和品种培育效率，持续培育适合我国本土养殖的具有自主知识产权的肉兔新品种（系），提升我国兔业现代化水平。</w:t>
      </w:r>
    </w:p>
    <w:p>
      <w:pPr>
        <w:widowControl w:val="0"/>
        <w:autoSpaceDE w:val="0"/>
        <w:autoSpaceDN w:val="0"/>
        <w:adjustRightInd/>
        <w:snapToGrid/>
        <w:spacing w:after="0" w:line="580" w:lineRule="exact"/>
        <w:ind w:firstLine="643" w:firstLineChars="200"/>
        <w:jc w:val="both"/>
        <w:rPr>
          <w:rFonts w:ascii="Times New Roman" w:hAnsi="Times New Roman" w:eastAsia="仿宋_GB2312" w:cs="Times New Roman"/>
          <w:kern w:val="2"/>
          <w:sz w:val="32"/>
          <w:szCs w:val="32"/>
        </w:rPr>
      </w:pPr>
      <w:r>
        <w:rPr>
          <w:rFonts w:hint="eastAsia" w:ascii="仿宋_GB2312" w:hAnsi="Calibri" w:eastAsia="仿宋_GB2312" w:cs="仿宋_GB2312"/>
          <w:b/>
          <w:bCs/>
          <w:color w:val="000000"/>
          <w:kern w:val="2"/>
          <w:sz w:val="32"/>
          <w:szCs w:val="32"/>
        </w:rPr>
        <w:t>考核指标：</w:t>
      </w:r>
      <w:r>
        <w:rPr>
          <w:rFonts w:ascii="Times New Roman" w:hAnsi="Times New Roman" w:eastAsia="仿宋_GB2312" w:cs="Times New Roman"/>
          <w:kern w:val="2"/>
          <w:sz w:val="32"/>
          <w:szCs w:val="32"/>
        </w:rPr>
        <w:t>选育肉兔专门化品系1个，构建肉兔全基因组选择参考群1500只</w:t>
      </w:r>
      <w:r>
        <w:rPr>
          <w:rFonts w:hint="eastAsia" w:ascii="Times New Roman" w:hAnsi="Times New Roman" w:eastAsia="仿宋_GB2312" w:cs="Times New Roman"/>
          <w:kern w:val="2"/>
          <w:sz w:val="32"/>
          <w:szCs w:val="32"/>
        </w:rPr>
        <w:t>以上</w:t>
      </w:r>
      <w:r>
        <w:rPr>
          <w:rFonts w:ascii="Times New Roman" w:hAnsi="Times New Roman" w:eastAsia="仿宋_GB2312" w:cs="Times New Roman"/>
          <w:kern w:val="2"/>
          <w:sz w:val="32"/>
          <w:szCs w:val="32"/>
        </w:rPr>
        <w:t>；培育肉兔新品系产活仔数≥10只，21日龄窝重≥4kg，育肥期料肉比≤3.1，68日龄体重≥2.3kg；制定配套养殖技术规程</w:t>
      </w:r>
      <w:r>
        <w:rPr>
          <w:rFonts w:hint="eastAsia" w:ascii="Times New Roman" w:hAnsi="Times New Roman" w:eastAsia="仿宋_GB2312" w:cs="Times New Roman"/>
          <w:kern w:val="2"/>
          <w:sz w:val="32"/>
          <w:szCs w:val="32"/>
        </w:rPr>
        <w:t>不少于</w:t>
      </w:r>
      <w:r>
        <w:rPr>
          <w:rFonts w:ascii="Times New Roman" w:hAnsi="Times New Roman" w:eastAsia="仿宋_GB2312" w:cs="Times New Roman"/>
          <w:kern w:val="2"/>
          <w:sz w:val="32"/>
          <w:szCs w:val="32"/>
        </w:rPr>
        <w:t>2项。申请专利</w:t>
      </w:r>
      <w:r>
        <w:rPr>
          <w:rFonts w:hint="eastAsia" w:ascii="Times New Roman" w:hAnsi="Times New Roman" w:eastAsia="仿宋_GB2312" w:cs="Times New Roman"/>
          <w:kern w:val="2"/>
          <w:sz w:val="32"/>
          <w:szCs w:val="32"/>
        </w:rPr>
        <w:t>不少于</w:t>
      </w:r>
      <w:r>
        <w:rPr>
          <w:rFonts w:ascii="Times New Roman" w:hAnsi="Times New Roman" w:eastAsia="仿宋_GB2312" w:cs="Times New Roman"/>
          <w:kern w:val="2"/>
          <w:sz w:val="32"/>
          <w:szCs w:val="32"/>
        </w:rPr>
        <w:t>3件，发表论文2-3篇，培养育种人员5人</w:t>
      </w:r>
      <w:r>
        <w:rPr>
          <w:rFonts w:hint="eastAsia" w:ascii="Times New Roman" w:hAnsi="Times New Roman" w:eastAsia="仿宋_GB2312" w:cs="Times New Roman"/>
          <w:kern w:val="2"/>
          <w:sz w:val="32"/>
          <w:szCs w:val="32"/>
        </w:rPr>
        <w:t>以上</w:t>
      </w:r>
      <w:r>
        <w:rPr>
          <w:rFonts w:ascii="Times New Roman" w:hAnsi="Times New Roman" w:eastAsia="仿宋_GB2312" w:cs="Times New Roman"/>
          <w:kern w:val="2"/>
          <w:sz w:val="32"/>
          <w:szCs w:val="32"/>
        </w:rPr>
        <w:t>。项目实施期间，推广优质种兔不少于10万套，实现经济效益2500万元</w:t>
      </w:r>
      <w:r>
        <w:rPr>
          <w:rFonts w:hint="eastAsia" w:ascii="Times New Roman" w:hAnsi="Times New Roman" w:eastAsia="仿宋_GB2312" w:cs="Times New Roman"/>
          <w:kern w:val="2"/>
          <w:sz w:val="32"/>
          <w:szCs w:val="32"/>
        </w:rPr>
        <w:t>以上</w:t>
      </w:r>
      <w:r>
        <w:rPr>
          <w:rFonts w:ascii="Times New Roman" w:hAnsi="Times New Roman" w:eastAsia="仿宋_GB2312" w:cs="Times New Roman"/>
          <w:kern w:val="2"/>
          <w:sz w:val="32"/>
          <w:szCs w:val="32"/>
        </w:rPr>
        <w:t>。</w:t>
      </w:r>
    </w:p>
    <w:p>
      <w:pPr>
        <w:widowControl w:val="0"/>
        <w:adjustRightInd/>
        <w:snapToGrid/>
        <w:spacing w:after="0" w:line="580" w:lineRule="exact"/>
        <w:ind w:firstLine="641"/>
        <w:jc w:val="both"/>
        <w:rPr>
          <w:rFonts w:ascii="FangSong_GB2312" w:hAnsi="宋体" w:eastAsia="FangSong_GB2312" w:cs="KaiTi_GB2312"/>
          <w:b/>
          <w:kern w:val="2"/>
          <w:sz w:val="32"/>
          <w:szCs w:val="32"/>
        </w:rPr>
      </w:pPr>
      <w:r>
        <w:rPr>
          <w:rFonts w:hint="eastAsia" w:ascii="仿宋_GB2312" w:hAnsi="宋体" w:eastAsia="仿宋_GB2312" w:cs="楷体_GB2312"/>
          <w:bCs/>
          <w:kern w:val="2"/>
          <w:sz w:val="32"/>
          <w:szCs w:val="32"/>
        </w:rPr>
        <w:t>拟支持项目</w:t>
      </w:r>
      <w:r>
        <w:rPr>
          <w:rFonts w:ascii="仿宋_GB2312" w:hAnsi="宋体" w:eastAsia="仿宋_GB2312" w:cs="楷体_GB2312"/>
          <w:bCs/>
          <w:kern w:val="2"/>
          <w:sz w:val="32"/>
          <w:szCs w:val="32"/>
        </w:rPr>
        <w:t>1</w:t>
      </w:r>
      <w:r>
        <w:rPr>
          <w:rFonts w:hint="eastAsia" w:ascii="仿宋_GB2312" w:hAnsi="宋体" w:eastAsia="仿宋_GB2312" w:cs="楷体_GB2312"/>
          <w:bCs/>
          <w:kern w:val="2"/>
          <w:sz w:val="32"/>
          <w:szCs w:val="32"/>
        </w:rPr>
        <w:t>项，支持金额不超过100万元。</w:t>
      </w:r>
    </w:p>
    <w:p>
      <w:pPr>
        <w:widowControl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4</w:t>
      </w:r>
      <w:r>
        <w:rPr>
          <w:rFonts w:hint="eastAsia" w:ascii="仿宋_GB2312" w:hAnsi="宋体" w:eastAsia="仿宋_GB2312" w:cs="楷体_GB2312"/>
          <w:b/>
          <w:kern w:val="2"/>
          <w:sz w:val="32"/>
          <w:szCs w:val="32"/>
        </w:rPr>
        <w:t>：酿酒葡萄优质高效栽培技术集成与示范应用</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研究内容：</w:t>
      </w:r>
      <w:r>
        <w:rPr>
          <w:rFonts w:hint="eastAsia" w:ascii="仿宋_GB2312" w:hAnsi="FangSong_GB2312" w:eastAsia="仿宋_GB2312" w:cs="FangSong_GB2312"/>
          <w:kern w:val="2"/>
          <w:sz w:val="32"/>
          <w:szCs w:val="32"/>
        </w:rPr>
        <w:t>聚焦葡萄酒产业对优质酿酒葡萄原料的需求，针对当前酿酒葡萄品种结构单一、栽培模式落后、化肥和农药盲目施用和果实品质差等突出问题，围绕酿酒葡萄高效栽培和品质提升，筛选适宜青岛种植的优质抗病酿酒葡萄品种，研究酿酒葡萄避雨栽培等技术体系对葡萄果实生长发育、病虫害、果实品质以及葡萄酒品质的影响，集成并示范推广酿酒葡萄高效栽培技术体系，解决酿酒葡萄病虫害高发、品质逐渐下</w:t>
      </w:r>
      <w:r>
        <w:rPr>
          <w:rFonts w:hint="eastAsia" w:ascii="仿宋_GB2312" w:hAnsi="宋体" w:eastAsia="仿宋_GB2312" w:cs="楷体_GB2312"/>
          <w:bCs/>
          <w:kern w:val="2"/>
          <w:sz w:val="32"/>
          <w:szCs w:val="32"/>
        </w:rPr>
        <w:t>降的问题，促进青岛市葡萄酒产业高质量发展。</w:t>
      </w:r>
    </w:p>
    <w:p>
      <w:pPr>
        <w:widowControl w:val="0"/>
        <w:adjustRightInd/>
        <w:snapToGrid/>
        <w:spacing w:after="0" w:line="580" w:lineRule="exact"/>
        <w:ind w:firstLine="643" w:firstLineChars="200"/>
        <w:jc w:val="both"/>
        <w:rPr>
          <w:rFonts w:ascii="仿宋_GB2312" w:hAnsi="宋体" w:eastAsia="仿宋_GB2312" w:cs="楷体_GB2312"/>
          <w:bCs/>
          <w:kern w:val="2"/>
          <w:sz w:val="32"/>
          <w:szCs w:val="32"/>
        </w:rPr>
      </w:pPr>
      <w:r>
        <w:rPr>
          <w:rFonts w:hint="eastAsia" w:ascii="仿宋_GB2312" w:hAnsi="宋体" w:eastAsia="仿宋_GB2312" w:cs="楷体_GB2312"/>
          <w:b/>
          <w:kern w:val="2"/>
          <w:sz w:val="32"/>
          <w:szCs w:val="32"/>
        </w:rPr>
        <w:t>考核指标：</w:t>
      </w:r>
      <w:r>
        <w:rPr>
          <w:rFonts w:hint="eastAsia" w:ascii="仿宋_GB2312" w:hAnsi="宋体" w:eastAsia="仿宋_GB2312" w:cs="楷体_GB2312"/>
          <w:bCs/>
          <w:kern w:val="2"/>
          <w:sz w:val="32"/>
          <w:szCs w:val="32"/>
        </w:rPr>
        <w:t>筛选出适宜青岛市种植的优质酿酒葡萄品种1个，通过与现有主栽品种相比，对霜霉病等主要病害抗病能力提高20%以上，产量提高10%以上；集成酿酒葡萄避雨设施、精准水肥管理、高效病虫害防控等高效栽培技术1套，实现霜霉病等葡萄主要病害发病率降低50%，产量提高20%，亩均收益提高10%。项目实施期间，建立酿酒葡萄高效栽培核心示范基地不少于100亩，开发产业化特色葡萄酒单品1个以上，实现产值不少于500万元；申报团体标准不少于1项，申请专利不少于1件，发表相关学术论文2-3篇，开发科研助理岗位不少于2个，培育技术骨干不少于10人，培训种植户200人次以上。</w:t>
      </w:r>
    </w:p>
    <w:p>
      <w:pPr>
        <w:widowControl w:val="0"/>
        <w:adjustRightInd/>
        <w:snapToGrid/>
        <w:spacing w:after="0" w:line="580" w:lineRule="exact"/>
        <w:ind w:firstLine="641"/>
        <w:jc w:val="both"/>
        <w:rPr>
          <w:rFonts w:ascii="FangSong_GB2312" w:hAnsi="宋体" w:eastAsia="FangSong_GB2312" w:cs="KaiTi_GB2312"/>
          <w:b/>
          <w:kern w:val="2"/>
          <w:sz w:val="32"/>
          <w:szCs w:val="32"/>
        </w:rPr>
      </w:pPr>
      <w:r>
        <w:rPr>
          <w:rFonts w:hint="eastAsia" w:ascii="仿宋_GB2312" w:hAnsi="宋体" w:eastAsia="仿宋_GB2312" w:cs="楷体_GB2312"/>
          <w:bCs/>
          <w:kern w:val="2"/>
          <w:sz w:val="32"/>
          <w:szCs w:val="32"/>
        </w:rPr>
        <w:t>拟支持项目1项，支持金额不超过100万元。</w:t>
      </w:r>
    </w:p>
    <w:p>
      <w:pPr>
        <w:widowControl w:val="0"/>
        <w:adjustRightInd/>
        <w:snapToGrid/>
        <w:spacing w:after="0" w:line="580" w:lineRule="exact"/>
        <w:ind w:firstLine="641"/>
        <w:jc w:val="both"/>
        <w:rPr>
          <w:rFonts w:ascii="仿宋_GB2312" w:hAnsi="宋体" w:eastAsia="仿宋_GB2312" w:cs="FangSong_GB2312"/>
          <w:kern w:val="2"/>
          <w:sz w:val="32"/>
          <w:szCs w:val="32"/>
        </w:rPr>
      </w:pPr>
      <w:r>
        <w:rPr>
          <w:rFonts w:hint="eastAsia" w:ascii="仿宋_GB2312" w:hAnsi="宋体" w:eastAsia="仿宋_GB2312" w:cs="KaiTi_GB2312"/>
          <w:b/>
          <w:kern w:val="2"/>
          <w:sz w:val="32"/>
          <w:szCs w:val="32"/>
        </w:rPr>
        <w:t>方向</w:t>
      </w:r>
      <w:r>
        <w:rPr>
          <w:rFonts w:hint="eastAsia" w:ascii="仿宋_GB2312" w:hAnsi="Times New Roman" w:eastAsia="仿宋_GB2312" w:cs="Times New Roman"/>
          <w:b/>
          <w:bCs/>
          <w:kern w:val="2"/>
          <w:sz w:val="32"/>
          <w:szCs w:val="32"/>
        </w:rPr>
        <w:t>5</w:t>
      </w:r>
      <w:r>
        <w:rPr>
          <w:rFonts w:hint="eastAsia" w:ascii="仿宋_GB2312" w:hAnsi="宋体" w:eastAsia="仿宋_GB2312" w:cs="KaiTi_GB2312"/>
          <w:b/>
          <w:kern w:val="2"/>
          <w:sz w:val="32"/>
          <w:szCs w:val="32"/>
        </w:rPr>
        <w:t>：植物工厂光能精密匹配技术研究及其示范应用</w:t>
      </w:r>
    </w:p>
    <w:p>
      <w:pPr>
        <w:widowControl w:val="0"/>
        <w:adjustRightInd/>
        <w:snapToGrid/>
        <w:spacing w:after="0" w:line="580" w:lineRule="exact"/>
        <w:ind w:firstLine="649" w:firstLineChars="202"/>
        <w:jc w:val="both"/>
        <w:rPr>
          <w:rFonts w:ascii="仿宋_GB2312" w:hAnsi="宋体" w:eastAsia="仿宋_GB2312" w:cs="KaiTi_GB2312"/>
          <w:bCs/>
          <w:kern w:val="2"/>
          <w:sz w:val="32"/>
          <w:szCs w:val="32"/>
        </w:rPr>
      </w:pPr>
      <w:r>
        <w:rPr>
          <w:rFonts w:hint="eastAsia" w:ascii="仿宋_GB2312" w:hAnsi="宋体" w:eastAsia="仿宋_GB2312" w:cs="KaiTi_GB2312"/>
          <w:b/>
          <w:kern w:val="2"/>
          <w:sz w:val="32"/>
          <w:szCs w:val="32"/>
        </w:rPr>
        <w:t>研究内容：</w:t>
      </w:r>
      <w:r>
        <w:rPr>
          <w:rFonts w:hint="eastAsia" w:ascii="仿宋_GB2312" w:hAnsi="宋体" w:eastAsia="仿宋_GB2312" w:cs="KaiTi_GB2312"/>
          <w:bCs/>
          <w:kern w:val="2"/>
          <w:sz w:val="32"/>
          <w:szCs w:val="32"/>
        </w:rPr>
        <w:t>针对现有人工植物光源光谱能量利用率低、不能精密匹配植物不同生长阶段所需光谱能量等问题，综合运用自然光和半导体光源等光源技术，研发适合菌菇类等高经济价值植物光照方式，构筑基于能量光纤传输网的无菌、无尘、恒温、恒湿菌菇植物工厂，取代现有LED灯直接供光方式，采用能量光纤传输网为植物精准匹配光谱能量，提高植物对光能的利用效率，实现对菌丝培育、出菇时间和出菇位置的精准控制，大幅提高菌菇类植物栽培效率和栽培产量，降低电能能耗和运营成本。</w:t>
      </w:r>
    </w:p>
    <w:p>
      <w:pPr>
        <w:widowControl w:val="0"/>
        <w:adjustRightInd/>
        <w:snapToGrid/>
        <w:spacing w:after="0" w:line="580" w:lineRule="exact"/>
        <w:ind w:firstLine="649" w:firstLineChars="202"/>
        <w:jc w:val="both"/>
        <w:rPr>
          <w:rFonts w:hint="eastAsia" w:ascii="仿宋_GB2312" w:hAnsi="FangSong_GB2312" w:eastAsia="仿宋_GB2312" w:cs="FangSong_GB2312"/>
          <w:kern w:val="2"/>
          <w:sz w:val="32"/>
          <w:szCs w:val="32"/>
        </w:rPr>
      </w:pPr>
      <w:r>
        <w:rPr>
          <w:rFonts w:hint="eastAsia" w:ascii="仿宋_GB2312" w:hAnsi="宋体" w:eastAsia="仿宋_GB2312" w:cs="KaiTi_GB2312"/>
          <w:b/>
          <w:kern w:val="2"/>
          <w:sz w:val="32"/>
          <w:szCs w:val="32"/>
        </w:rPr>
        <w:t>考核指标：</w:t>
      </w:r>
      <w:r>
        <w:rPr>
          <w:rFonts w:hint="eastAsia" w:ascii="仿宋_GB2312" w:hAnsi="FangSong_GB2312" w:eastAsia="仿宋_GB2312" w:cs="FangSong_GB2312"/>
          <w:kern w:val="2"/>
          <w:sz w:val="32"/>
          <w:szCs w:val="32"/>
        </w:rPr>
        <w:t>建设基于能量光纤的菌菇创新工厂1座，建筑面积不低于300平方米，无菌无尘等级30万级，温度控制范围15</w:t>
      </w:r>
      <w:r>
        <w:rPr>
          <w:rFonts w:hint="eastAsia" w:ascii="仿宋_GB2312" w:hAnsi="FangSong_GB2312" w:eastAsia="仿宋_GB2312" w:cs="FangSong_GB2312"/>
          <w:kern w:val="2"/>
          <w:sz w:val="32"/>
          <w:szCs w:val="32"/>
        </w:rPr>
        <w:sym w:font="Symbol" w:char="F0B0"/>
      </w:r>
      <w:r>
        <w:rPr>
          <w:rFonts w:hint="eastAsia" w:ascii="仿宋_GB2312" w:hAnsi="FangSong_GB2312" w:eastAsia="仿宋_GB2312" w:cs="FangSong_GB2312"/>
          <w:kern w:val="2"/>
          <w:sz w:val="32"/>
          <w:szCs w:val="32"/>
        </w:rPr>
        <w:t>C-30</w:t>
      </w:r>
      <w:r>
        <w:rPr>
          <w:rFonts w:hint="eastAsia" w:ascii="仿宋_GB2312" w:hAnsi="FangSong_GB2312" w:eastAsia="仿宋_GB2312" w:cs="FangSong_GB2312"/>
          <w:kern w:val="2"/>
          <w:sz w:val="32"/>
          <w:szCs w:val="32"/>
        </w:rPr>
        <w:sym w:font="Symbol" w:char="F0B0"/>
      </w:r>
      <w:r>
        <w:rPr>
          <w:rFonts w:hint="eastAsia" w:ascii="仿宋_GB2312" w:hAnsi="FangSong_GB2312" w:eastAsia="仿宋_GB2312" w:cs="FangSong_GB2312"/>
          <w:kern w:val="2"/>
          <w:sz w:val="32"/>
          <w:szCs w:val="32"/>
        </w:rPr>
        <w:t>C，湿度控制范围50%-90%RH，二氧化碳浓度控制范围700ppm-1100ppm；构筑分布式光能能量光纤传输网，实现对单株植物精准供给光能量，较传统植物工厂植物照明用电量降低80%；开发菌菇类植物室内基质栽培技术配方不少于3种，实现羊肚菌、榆黄菇、平菇等菌菇类植物的高效、规模化养殖，平菇、榆黄菇从菌棒上架到采摘≤5天，羊肚菌从播种到采摘≤35天，出菇产量较传统大棚产量提高10倍以上。项目实施期内，菌菇创新工厂羊肚菌、榆黄菇、平菇年产量分别达到10吨、300吨、300吨，年销售收入不少于1000万元。每年培训技术人员不少于50人次，培养乡村科技人才不少于10名，开发科研助理岗位不少于1个，申请（或授权）专利不少于3项。</w:t>
      </w:r>
    </w:p>
    <w:p>
      <w:pPr>
        <w:widowControl w:val="0"/>
        <w:autoSpaceDE w:val="0"/>
        <w:autoSpaceDN w:val="0"/>
        <w:adjustRightInd/>
        <w:snapToGrid/>
        <w:spacing w:after="0" w:line="580" w:lineRule="exact"/>
        <w:ind w:firstLine="640" w:firstLineChars="200"/>
        <w:jc w:val="both"/>
        <w:rPr>
          <w:rFonts w:hint="eastAsia" w:ascii="仿宋_GB2312" w:hAnsi="FangSong_GB2312" w:eastAsia="仿宋_GB2312" w:cs="FangSong_GB2312"/>
          <w:kern w:val="2"/>
          <w:sz w:val="32"/>
          <w:szCs w:val="32"/>
        </w:rPr>
      </w:pPr>
      <w:r>
        <w:rPr>
          <w:rFonts w:hint="eastAsia" w:ascii="仿宋_GB2312" w:hAnsi="FangSong_GB2312" w:eastAsia="仿宋_GB2312" w:cs="FangSong_GB2312"/>
          <w:kern w:val="2"/>
          <w:sz w:val="32"/>
          <w:szCs w:val="32"/>
        </w:rPr>
        <w:t>拟支持项目1项，支持金额不超过100万元。</w:t>
      </w:r>
    </w:p>
    <w:p>
      <w:pPr>
        <w:widowControl w:val="0"/>
        <w:adjustRightInd/>
        <w:snapToGrid/>
        <w:spacing w:after="0" w:line="580" w:lineRule="exact"/>
        <w:ind w:firstLine="643" w:firstLineChars="2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方向</w:t>
      </w:r>
      <w:r>
        <w:rPr>
          <w:rFonts w:hint="eastAsia" w:ascii="Times New Roman" w:hAnsi="Times New Roman" w:eastAsia="仿宋_GB2312" w:cs="Times New Roman"/>
          <w:b/>
          <w:bCs/>
          <w:kern w:val="2"/>
          <w:sz w:val="32"/>
          <w:szCs w:val="32"/>
        </w:rPr>
        <w:t>6</w:t>
      </w:r>
      <w:r>
        <w:rPr>
          <w:rFonts w:hint="eastAsia" w:ascii="仿宋_GB2312" w:hAnsi="仿宋_GB2312" w:eastAsia="仿宋_GB2312" w:cs="仿宋_GB2312"/>
          <w:b/>
          <w:bCs/>
          <w:kern w:val="2"/>
          <w:sz w:val="32"/>
          <w:szCs w:val="32"/>
        </w:rPr>
        <w:t>：基于合成生物学的高效新型微生物源杀蚜虫菌剂制造与产业化</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研究内容：</w:t>
      </w:r>
      <w:r>
        <w:rPr>
          <w:rFonts w:ascii="仿宋_GB2312" w:hAnsi="Calibri" w:eastAsia="仿宋_GB2312" w:cs="仿宋_GB2312"/>
          <w:color w:val="000000"/>
          <w:kern w:val="2"/>
          <w:sz w:val="32"/>
          <w:szCs w:val="32"/>
        </w:rPr>
        <w:t>聚焦青岛</w:t>
      </w:r>
      <w:r>
        <w:rPr>
          <w:rFonts w:hint="eastAsia" w:ascii="仿宋_GB2312" w:hAnsi="Calibri" w:eastAsia="仿宋_GB2312" w:cs="仿宋_GB2312"/>
          <w:color w:val="000000"/>
          <w:kern w:val="2"/>
          <w:sz w:val="32"/>
          <w:szCs w:val="32"/>
        </w:rPr>
        <w:t>重要</w:t>
      </w:r>
      <w:r>
        <w:rPr>
          <w:rFonts w:hint="eastAsia" w:ascii="仿宋_GB2312" w:hAnsi="Calibri" w:eastAsia="仿宋_GB2312" w:cs="仿宋_GB2312"/>
          <w:color w:val="000000"/>
          <w:kern w:val="2"/>
          <w:sz w:val="32"/>
          <w:szCs w:val="32"/>
        </w:rPr>
        <w:tab/>
      </w:r>
      <w:r>
        <w:rPr>
          <w:rFonts w:ascii="仿宋_GB2312" w:hAnsi="Calibri" w:eastAsia="仿宋_GB2312" w:cs="仿宋_GB2312"/>
          <w:color w:val="000000"/>
          <w:kern w:val="2"/>
          <w:sz w:val="32"/>
          <w:szCs w:val="32"/>
        </w:rPr>
        <w:t>果蔬</w:t>
      </w:r>
      <w:r>
        <w:rPr>
          <w:rFonts w:hint="eastAsia" w:ascii="仿宋_GB2312" w:hAnsi="Calibri" w:eastAsia="仿宋_GB2312" w:cs="仿宋_GB2312"/>
          <w:color w:val="000000"/>
          <w:kern w:val="2"/>
          <w:sz w:val="32"/>
          <w:szCs w:val="32"/>
        </w:rPr>
        <w:t>绿色</w:t>
      </w:r>
      <w:r>
        <w:rPr>
          <w:rFonts w:ascii="仿宋_GB2312" w:hAnsi="Calibri" w:eastAsia="仿宋_GB2312" w:cs="仿宋_GB2312"/>
          <w:color w:val="000000"/>
          <w:kern w:val="2"/>
          <w:sz w:val="32"/>
          <w:szCs w:val="32"/>
        </w:rPr>
        <w:t>生态种植，针对</w:t>
      </w:r>
      <w:r>
        <w:rPr>
          <w:rFonts w:hint="eastAsia" w:ascii="仿宋_GB2312" w:hAnsi="Calibri" w:eastAsia="仿宋_GB2312" w:cs="仿宋_GB2312"/>
          <w:color w:val="000000"/>
          <w:kern w:val="2"/>
          <w:sz w:val="32"/>
          <w:szCs w:val="32"/>
        </w:rPr>
        <w:t>果蔬</w:t>
      </w:r>
      <w:r>
        <w:rPr>
          <w:rFonts w:ascii="仿宋_GB2312" w:hAnsi="Calibri" w:eastAsia="仿宋_GB2312" w:cs="仿宋_GB2312"/>
          <w:color w:val="000000"/>
          <w:kern w:val="2"/>
          <w:sz w:val="32"/>
          <w:szCs w:val="32"/>
        </w:rPr>
        <w:t>蚜虫危害范围广、损失严重、农药使用量大等问题，开展微生物源杀虫剂种质资源</w:t>
      </w:r>
      <w:r>
        <w:rPr>
          <w:rFonts w:hint="eastAsia" w:ascii="仿宋_GB2312" w:hAnsi="Calibri" w:eastAsia="仿宋_GB2312" w:cs="仿宋_GB2312"/>
          <w:color w:val="000000"/>
          <w:kern w:val="2"/>
          <w:sz w:val="32"/>
          <w:szCs w:val="32"/>
        </w:rPr>
        <w:t>的</w:t>
      </w:r>
      <w:r>
        <w:rPr>
          <w:rFonts w:ascii="仿宋_GB2312" w:hAnsi="Calibri" w:eastAsia="仿宋_GB2312" w:cs="仿宋_GB2312"/>
          <w:color w:val="000000"/>
          <w:kern w:val="2"/>
          <w:sz w:val="32"/>
          <w:szCs w:val="32"/>
        </w:rPr>
        <w:t>挖掘</w:t>
      </w:r>
      <w:r>
        <w:rPr>
          <w:rFonts w:hint="eastAsia" w:ascii="仿宋_GB2312" w:hAnsi="Calibri" w:eastAsia="仿宋_GB2312" w:cs="仿宋_GB2312"/>
          <w:color w:val="000000"/>
          <w:kern w:val="2"/>
          <w:sz w:val="32"/>
          <w:szCs w:val="32"/>
        </w:rPr>
        <w:t>、</w:t>
      </w:r>
      <w:r>
        <w:rPr>
          <w:rFonts w:ascii="仿宋_GB2312" w:hAnsi="Calibri" w:eastAsia="仿宋_GB2312" w:cs="仿宋_GB2312"/>
          <w:color w:val="000000"/>
          <w:kern w:val="2"/>
          <w:sz w:val="32"/>
          <w:szCs w:val="32"/>
        </w:rPr>
        <w:t>杀虫</w:t>
      </w:r>
      <w:r>
        <w:rPr>
          <w:rFonts w:hint="eastAsia" w:ascii="仿宋_GB2312" w:hAnsi="Calibri" w:eastAsia="仿宋_GB2312" w:cs="仿宋_GB2312"/>
          <w:color w:val="000000"/>
          <w:kern w:val="2"/>
          <w:sz w:val="32"/>
          <w:szCs w:val="32"/>
        </w:rPr>
        <w:t>活性</w:t>
      </w:r>
      <w:r>
        <w:rPr>
          <w:rFonts w:ascii="仿宋_GB2312" w:hAnsi="Calibri" w:eastAsia="仿宋_GB2312" w:cs="仿宋_GB2312"/>
          <w:color w:val="000000"/>
          <w:kern w:val="2"/>
          <w:sz w:val="32"/>
          <w:szCs w:val="32"/>
        </w:rPr>
        <w:t>物质</w:t>
      </w:r>
      <w:r>
        <w:rPr>
          <w:rFonts w:hint="eastAsia" w:ascii="仿宋_GB2312" w:hAnsi="Calibri" w:eastAsia="仿宋_GB2312" w:cs="仿宋_GB2312"/>
          <w:color w:val="000000"/>
          <w:kern w:val="2"/>
          <w:sz w:val="32"/>
          <w:szCs w:val="32"/>
        </w:rPr>
        <w:t>的鉴定</w:t>
      </w:r>
      <w:r>
        <w:rPr>
          <w:rFonts w:ascii="仿宋_GB2312" w:hAnsi="Calibri" w:eastAsia="仿宋_GB2312" w:cs="仿宋_GB2312"/>
          <w:color w:val="000000"/>
          <w:kern w:val="2"/>
          <w:sz w:val="32"/>
          <w:szCs w:val="32"/>
        </w:rPr>
        <w:t>和</w:t>
      </w:r>
      <w:r>
        <w:rPr>
          <w:rFonts w:hint="eastAsia" w:ascii="仿宋_GB2312" w:hAnsi="Calibri" w:eastAsia="仿宋_GB2312" w:cs="仿宋_GB2312"/>
          <w:color w:val="000000"/>
          <w:kern w:val="2"/>
          <w:sz w:val="32"/>
          <w:szCs w:val="32"/>
        </w:rPr>
        <w:t>活性评价</w:t>
      </w:r>
      <w:r>
        <w:rPr>
          <w:rFonts w:ascii="仿宋_GB2312" w:hAnsi="Calibri" w:eastAsia="仿宋_GB2312" w:cs="仿宋_GB2312"/>
          <w:color w:val="000000"/>
          <w:kern w:val="2"/>
          <w:sz w:val="32"/>
          <w:szCs w:val="32"/>
        </w:rPr>
        <w:t>，</w:t>
      </w:r>
      <w:r>
        <w:rPr>
          <w:rFonts w:hint="eastAsia" w:ascii="仿宋_GB2312" w:hAnsi="Calibri" w:eastAsia="仿宋_GB2312" w:cs="仿宋_GB2312"/>
          <w:color w:val="000000"/>
          <w:kern w:val="2"/>
          <w:sz w:val="32"/>
          <w:szCs w:val="32"/>
        </w:rPr>
        <w:t>对其构效关系进行探讨，利用合成生物学技术</w:t>
      </w:r>
      <w:r>
        <w:rPr>
          <w:rFonts w:ascii="仿宋_GB2312" w:hAnsi="Calibri" w:eastAsia="仿宋_GB2312" w:cs="仿宋_GB2312"/>
          <w:color w:val="000000"/>
          <w:kern w:val="2"/>
          <w:sz w:val="32"/>
          <w:szCs w:val="32"/>
        </w:rPr>
        <w:t>对优异微生物资源进行基因工程改造，</w:t>
      </w:r>
      <w:r>
        <w:rPr>
          <w:rFonts w:hint="eastAsia" w:ascii="仿宋_GB2312" w:hAnsi="Calibri" w:eastAsia="仿宋_GB2312" w:cs="仿宋_GB2312"/>
          <w:color w:val="000000"/>
          <w:kern w:val="2"/>
          <w:sz w:val="32"/>
          <w:szCs w:val="32"/>
        </w:rPr>
        <w:t>提高杀虫活性，促进杀虫菌剂</w:t>
      </w:r>
      <w:r>
        <w:rPr>
          <w:rFonts w:ascii="仿宋_GB2312" w:hAnsi="Calibri" w:eastAsia="仿宋_GB2312" w:cs="仿宋_GB2312"/>
          <w:color w:val="000000"/>
          <w:kern w:val="2"/>
          <w:sz w:val="32"/>
          <w:szCs w:val="32"/>
        </w:rPr>
        <w:t>的产业化开发。</w:t>
      </w:r>
      <w:r>
        <w:rPr>
          <w:rFonts w:hint="eastAsia" w:ascii="仿宋_GB2312" w:hAnsi="Calibri" w:eastAsia="仿宋_GB2312" w:cs="仿宋_GB2312"/>
          <w:color w:val="000000"/>
          <w:kern w:val="2"/>
          <w:sz w:val="32"/>
          <w:szCs w:val="32"/>
        </w:rPr>
        <w:t>以蚜虫病原细菌为研究对象，利用基因编辑技术、代谢工程、细胞表达等合成生物学技术构建高效绿色生产菌株，实现高效新型微生物源杀蚜虫菌剂制造与产业化。</w:t>
      </w:r>
    </w:p>
    <w:p>
      <w:pPr>
        <w:widowControl w:val="0"/>
        <w:autoSpaceDE w:val="0"/>
        <w:autoSpaceDN w:val="0"/>
        <w:adjustRightInd/>
        <w:snapToGrid/>
        <w:spacing w:after="0" w:line="580" w:lineRule="exact"/>
        <w:ind w:firstLine="643" w:firstLineChars="200"/>
        <w:jc w:val="both"/>
        <w:rPr>
          <w:rFonts w:ascii="Calibri" w:hAnsi="Calibri" w:eastAsia="宋体" w:cs="Calibri"/>
          <w:kern w:val="2"/>
          <w:sz w:val="21"/>
          <w:szCs w:val="21"/>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获得高效防治蚜虫的微生物菌株2个以上；开发微生物源杀蚜虫剂剂型1-2个，申请新型微生物源杀蚜虫菌剂新农药登记证1-2个，货架期1年以上；建立适用于该菌株的内源性强启动子库、以及可用于功能基因修饰的基因编辑技术1套；制定果蔬蚜虫绿色防控技术方案1套；微生物菌剂产品对靶标蚜虫的防效达80%以上；申请或授权发明专利不少于3项，发表高水平论文1篇；项目实施期间，示范推广1000亩以上，新增销售收入400万以上；开发科研助理岗位不少于3个，培育技术骨干不少于2人，培训种植户500人次以上。</w:t>
      </w:r>
    </w:p>
    <w:p>
      <w:pPr>
        <w:widowControl w:val="0"/>
        <w:autoSpaceDE w:val="0"/>
        <w:autoSpaceDN w:val="0"/>
        <w:adjustRightInd/>
        <w:snapToGrid/>
        <w:spacing w:after="0" w:line="580" w:lineRule="exact"/>
        <w:ind w:firstLine="640" w:firstLineChars="200"/>
        <w:jc w:val="both"/>
        <w:rPr>
          <w:rFonts w:ascii="仿宋_GB2312" w:hAnsi="Calibri" w:eastAsia="仿宋_GB2312" w:cs="仿宋_GB2312"/>
          <w:bCs/>
          <w:color w:val="000000"/>
          <w:kern w:val="2"/>
          <w:sz w:val="32"/>
          <w:szCs w:val="32"/>
        </w:rPr>
      </w:pPr>
      <w:r>
        <w:rPr>
          <w:rFonts w:hint="eastAsia" w:ascii="仿宋_GB2312" w:hAnsi="Calibri" w:eastAsia="仿宋_GB2312" w:cs="仿宋_GB2312"/>
          <w:bCs/>
          <w:color w:val="000000"/>
          <w:kern w:val="2"/>
          <w:sz w:val="32"/>
          <w:szCs w:val="32"/>
        </w:rPr>
        <w:t>拟支持项目1项，支持金额不超过100万元。</w:t>
      </w:r>
    </w:p>
    <w:p>
      <w:pPr>
        <w:widowControl w:val="0"/>
        <w:adjustRightInd/>
        <w:snapToGrid/>
        <w:spacing w:after="0" w:line="580" w:lineRule="exact"/>
        <w:ind w:firstLine="643" w:firstLineChars="200"/>
        <w:jc w:val="both"/>
        <w:rPr>
          <w:rFonts w:ascii="楷体_GB2312" w:hAnsi="宋体" w:eastAsia="楷体_GB2312" w:cs="Calibri"/>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7</w:t>
      </w:r>
      <w:r>
        <w:rPr>
          <w:rFonts w:hint="eastAsia" w:ascii="仿宋_GB2312" w:hAnsi="宋体" w:eastAsia="仿宋_GB2312" w:cs="楷体_GB2312"/>
          <w:b/>
          <w:kern w:val="2"/>
          <w:sz w:val="32"/>
          <w:szCs w:val="32"/>
        </w:rPr>
        <w:t>：</w:t>
      </w:r>
      <w:r>
        <w:rPr>
          <w:rFonts w:hint="eastAsia" w:ascii="仿宋_GB2312" w:hAnsi="Calibri" w:eastAsia="仿宋_GB2312" w:cs="仿宋_GB2312"/>
          <w:b/>
          <w:bCs/>
          <w:color w:val="000000"/>
          <w:kern w:val="2"/>
          <w:sz w:val="32"/>
          <w:szCs w:val="32"/>
        </w:rPr>
        <w:t>畜禽种源性疫病防控及净化技术集成与示范推广</w:t>
      </w:r>
    </w:p>
    <w:p>
      <w:pPr>
        <w:widowControl w:val="0"/>
        <w:adjustRightInd/>
        <w:snapToGrid/>
        <w:spacing w:after="0" w:line="580" w:lineRule="exact"/>
        <w:ind w:firstLine="641"/>
        <w:jc w:val="both"/>
        <w:rPr>
          <w:rFonts w:ascii="仿宋_GB2312" w:hAnsi="宋体" w:eastAsia="仿宋_GB2312" w:cs="仿宋_GB2312"/>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宋体" w:eastAsia="仿宋_GB2312" w:cs="仿宋_GB2312"/>
          <w:kern w:val="2"/>
          <w:sz w:val="32"/>
          <w:szCs w:val="32"/>
        </w:rPr>
        <w:t xml:space="preserve">聚焦畜禽种业健康发展需求，针对种源性疫病防控中存在的病原遗传演化、致病机制不清、净化不彻底等瓶颈问题，利用单细胞微生物测序技术，高效精准解析病原遗传演化、传播规律及致病机制；利用反向遗传技术开展靶向标记病毒遗传位点及功能研究；开展高通量检测技术及关键创新算法研究；开展相关新型疫苗及设备研究；对形成的一系列技术及产品进行推广与示范应用，创建种畜禽疫病净化场，提升青岛市畜禽种质资源水平，推进种业振兴。  </w:t>
      </w:r>
    </w:p>
    <w:p>
      <w:pPr>
        <w:widowControl w:val="0"/>
        <w:adjustRightInd/>
        <w:snapToGrid/>
        <w:spacing w:after="0" w:line="580" w:lineRule="exact"/>
        <w:ind w:firstLine="641"/>
        <w:jc w:val="both"/>
        <w:rPr>
          <w:rFonts w:ascii="仿宋_GB2312" w:hAnsi="Calibri" w:eastAsia="仿宋_GB2312" w:cs="仿宋_GB2312"/>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宋体" w:eastAsia="仿宋_GB2312" w:cs="仿宋_GB2312"/>
          <w:kern w:val="2"/>
          <w:sz w:val="32"/>
          <w:szCs w:val="32"/>
        </w:rPr>
        <w:t>检测畜禽种源性疫病相关样品2000份以上；建立一套应用于疫病检测及遗传分析的单细胞微生物测序分析体系；发现免疫靶点3个以上；开发检测试剂盒不少于3个，检测准确率95%以上；研制禽病新型疫苗1个以上，并提交新兽药临床试验申请；开发监测相关设备及疫病监测算法各1套；申请发明专利不少于8项；制定相关标准或主推技术2个以上；发表论文不少于5篇；建立疫病净化及维持技术方案，在不少于30个种畜禽场进行示范应用，建立示范基地5个以上；开发科研助理岗位2个，培养研究生4名，带动示范应用单位新增经济效益5000万元以上。</w:t>
      </w:r>
    </w:p>
    <w:p>
      <w:pPr>
        <w:widowControl w:val="0"/>
        <w:autoSpaceDE w:val="0"/>
        <w:autoSpaceDN w:val="0"/>
        <w:adjustRightInd/>
        <w:snapToGrid/>
        <w:spacing w:after="0" w:line="580" w:lineRule="exact"/>
        <w:ind w:firstLine="640" w:firstLineChars="200"/>
        <w:jc w:val="both"/>
        <w:rPr>
          <w:rFonts w:ascii="仿宋_GB2312" w:hAnsi="宋体" w:eastAsia="仿宋_GB2312" w:cs="楷体_GB2312"/>
          <w:b/>
          <w:kern w:val="2"/>
          <w:sz w:val="32"/>
          <w:szCs w:val="32"/>
        </w:rPr>
      </w:pPr>
      <w:r>
        <w:rPr>
          <w:rFonts w:hint="eastAsia" w:ascii="仿宋_GB2312" w:hAnsi="宋体" w:eastAsia="仿宋_GB2312" w:cs="楷体_GB2312"/>
          <w:bCs/>
          <w:kern w:val="2"/>
          <w:sz w:val="32"/>
          <w:szCs w:val="32"/>
        </w:rPr>
        <w:t>拟支持项目1项，支持金额不超过100万元。</w:t>
      </w:r>
    </w:p>
    <w:p>
      <w:pPr>
        <w:widowControl w:val="0"/>
        <w:autoSpaceDE w:val="0"/>
        <w:autoSpaceDN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w:t>
      </w:r>
      <w:r>
        <w:rPr>
          <w:rFonts w:hint="eastAsia" w:ascii="Times New Roman" w:hAnsi="Times New Roman" w:eastAsia="仿宋_GB2312" w:cs="Times New Roman"/>
          <w:b/>
          <w:bCs/>
          <w:kern w:val="2"/>
          <w:sz w:val="32"/>
          <w:szCs w:val="32"/>
        </w:rPr>
        <w:t>8</w:t>
      </w:r>
      <w:r>
        <w:rPr>
          <w:rFonts w:hint="eastAsia" w:ascii="仿宋_GB2312" w:hAnsi="宋体" w:eastAsia="仿宋_GB2312" w:cs="楷体_GB2312"/>
          <w:b/>
          <w:kern w:val="2"/>
          <w:sz w:val="32"/>
          <w:szCs w:val="32"/>
        </w:rPr>
        <w:t>：特色发酵酱类食品高效加工与品质定向调控关键技术研究及产业化应用</w:t>
      </w:r>
    </w:p>
    <w:p>
      <w:pPr>
        <w:widowControl w:val="0"/>
        <w:adjustRightInd/>
        <w:snapToGrid/>
        <w:spacing w:after="0" w:line="580" w:lineRule="exact"/>
        <w:ind w:firstLine="641"/>
        <w:jc w:val="both"/>
        <w:rPr>
          <w:rFonts w:ascii="仿宋_GB2312" w:hAnsi="Calibri" w:eastAsia="仿宋_GB2312" w:cs="仿宋_GB2312"/>
          <w:color w:val="000000"/>
          <w:kern w:val="2"/>
          <w:sz w:val="32"/>
          <w:szCs w:val="32"/>
        </w:rPr>
      </w:pPr>
      <w:r>
        <w:rPr>
          <w:rFonts w:ascii="仿宋_GB2312" w:hAnsi="Calibri" w:eastAsia="仿宋_GB2312" w:cs="仿宋_GB2312"/>
          <w:b/>
          <w:bCs/>
          <w:color w:val="000000"/>
          <w:kern w:val="2"/>
          <w:sz w:val="32"/>
          <w:szCs w:val="32"/>
        </w:rPr>
        <w:t>研究内容：</w:t>
      </w:r>
      <w:r>
        <w:rPr>
          <w:rFonts w:hint="eastAsia" w:ascii="仿宋_GB2312" w:hAnsi="Calibri" w:eastAsia="仿宋_GB2312" w:cs="仿宋_GB2312"/>
          <w:color w:val="000000"/>
          <w:kern w:val="2"/>
          <w:sz w:val="32"/>
          <w:szCs w:val="32"/>
        </w:rPr>
        <w:t>针对传统酱料食品发酵过程中细菌过度增殖、季节性品质差异大及贮运流通过程中易质变等问题，围绕酱类调料食品品质提升和产业升级，以辣椒、大豆等大宗农产品为对象，研究传统酱料食品发酵过程中微生物增殖与代谢调控、生物危害物消减、稳态化加工等关键技术，构建基于菌酶耦合、生物防腐、热反应控制等的品质调控新工艺，开发适合现代餐饮需求的酱类复合调料食品，并形成规模化示范应用，为大宗农产品的加工提质增效和青岛复合调料食品产业转型升级提供科技支撑。</w:t>
      </w:r>
    </w:p>
    <w:p>
      <w:pPr>
        <w:widowControl w:val="0"/>
        <w:adjustRightInd/>
        <w:snapToGrid/>
        <w:spacing w:after="0" w:line="580" w:lineRule="exact"/>
        <w:ind w:firstLine="641"/>
        <w:jc w:val="both"/>
        <w:rPr>
          <w:rFonts w:ascii="仿宋_GB2312" w:hAnsi="Calibri" w:eastAsia="仿宋_GB2312" w:cs="仿宋_GB2312"/>
          <w:bCs/>
          <w:color w:val="FF0000"/>
          <w:kern w:val="2"/>
          <w:sz w:val="32"/>
          <w:szCs w:val="32"/>
        </w:rPr>
      </w:pPr>
      <w:r>
        <w:rPr>
          <w:rFonts w:ascii="仿宋_GB2312" w:hAnsi="Calibri" w:eastAsia="仿宋_GB2312" w:cs="仿宋_GB2312"/>
          <w:b/>
          <w:color w:val="000000"/>
          <w:kern w:val="2"/>
          <w:sz w:val="32"/>
          <w:szCs w:val="32"/>
        </w:rPr>
        <w:t>考核指标：</w:t>
      </w:r>
      <w:r>
        <w:rPr>
          <w:rFonts w:ascii="仿宋_GB2312" w:hAnsi="Calibri" w:eastAsia="仿宋_GB2312" w:cs="仿宋_GB2312"/>
          <w:bCs/>
          <w:color w:val="000000"/>
          <w:kern w:val="2"/>
          <w:sz w:val="32"/>
          <w:szCs w:val="32"/>
        </w:rPr>
        <w:t>研发发酵酱料品质定向调控与微生物控制工艺技术2-3项，发酵成熟酱体中氨基态氮含量≥0.4g/100g，细菌总数≤5×10</w:t>
      </w:r>
      <w:r>
        <w:rPr>
          <w:rFonts w:hint="eastAsia" w:ascii="仿宋_GB2312" w:hAnsi="Calibri" w:eastAsia="仿宋_GB2312" w:cs="仿宋_GB2312"/>
          <w:bCs/>
          <w:color w:val="000000"/>
          <w:kern w:val="2"/>
          <w:sz w:val="32"/>
          <w:szCs w:val="32"/>
          <w:vertAlign w:val="superscript"/>
        </w:rPr>
        <w:t>6</w:t>
      </w:r>
      <w:r>
        <w:rPr>
          <w:rFonts w:ascii="仿宋_GB2312" w:hAnsi="Calibri" w:eastAsia="仿宋_GB2312" w:cs="仿宋_GB2312"/>
          <w:bCs/>
          <w:color w:val="000000"/>
          <w:kern w:val="2"/>
          <w:sz w:val="32"/>
          <w:szCs w:val="32"/>
        </w:rPr>
        <w:t>CFU/g；提高发酵酱类调料食品品质稳定性，发酵酱体中氨基态氮含量的季节差异≤30%，产品贮藏1个月后色变度≤25%；形成发酵酱类复合调料食品3-5个，项目实施期间实现销售</w:t>
      </w:r>
      <w:r>
        <w:rPr>
          <w:rFonts w:hint="eastAsia" w:ascii="仿宋_GB2312" w:hAnsi="Calibri" w:eastAsia="仿宋_GB2312" w:cs="仿宋_GB2312"/>
          <w:bCs/>
          <w:color w:val="000000"/>
          <w:kern w:val="2"/>
          <w:sz w:val="32"/>
          <w:szCs w:val="32"/>
        </w:rPr>
        <w:t>收入不少于</w:t>
      </w:r>
      <w:r>
        <w:rPr>
          <w:rFonts w:ascii="仿宋_GB2312" w:hAnsi="Calibri" w:eastAsia="仿宋_GB2312" w:cs="仿宋_GB2312"/>
          <w:bCs/>
          <w:color w:val="000000"/>
          <w:kern w:val="2"/>
          <w:sz w:val="32"/>
          <w:szCs w:val="32"/>
        </w:rPr>
        <w:t>5000万元；改造或新建加工示范线1条；申报专利2项，发表论文2-3篇；开发科研助理岗位不少于2个；培训专业技术人员和从业人员不少于50人次。</w:t>
      </w:r>
    </w:p>
    <w:p>
      <w:pPr>
        <w:widowControl w:val="0"/>
        <w:adjustRightInd/>
        <w:snapToGrid/>
        <w:spacing w:after="0" w:line="580" w:lineRule="exact"/>
        <w:ind w:firstLine="640" w:firstLineChars="200"/>
        <w:jc w:val="both"/>
        <w:rPr>
          <w:rFonts w:ascii="仿宋_GB2312" w:hAnsi="宋体" w:eastAsia="仿宋_GB2312" w:cs="楷体_GB2312"/>
          <w:b/>
          <w:w w:val="98"/>
          <w:kern w:val="2"/>
          <w:sz w:val="32"/>
          <w:szCs w:val="32"/>
        </w:rPr>
      </w:pPr>
      <w:r>
        <w:rPr>
          <w:rFonts w:hint="eastAsia" w:ascii="仿宋_GB2312" w:hAnsi="Calibri" w:eastAsia="仿宋_GB2312" w:cs="仿宋_GB2312"/>
          <w:bCs/>
          <w:color w:val="000000"/>
          <w:kern w:val="2"/>
          <w:sz w:val="32"/>
          <w:szCs w:val="32"/>
        </w:rPr>
        <w:t>拟支持项目1项，支持金额100万元。</w:t>
      </w:r>
    </w:p>
    <w:p>
      <w:pPr>
        <w:widowControl w:val="0"/>
        <w:adjustRightInd/>
        <w:snapToGrid/>
        <w:spacing w:after="0" w:line="580" w:lineRule="exact"/>
        <w:ind w:firstLine="629" w:firstLineChars="200"/>
        <w:jc w:val="both"/>
        <w:rPr>
          <w:rFonts w:ascii="仿宋_GB2312" w:hAnsi="宋体" w:eastAsia="仿宋_GB2312" w:cs="楷体_GB2312"/>
          <w:bCs/>
          <w:w w:val="98"/>
          <w:kern w:val="2"/>
          <w:sz w:val="32"/>
          <w:szCs w:val="32"/>
        </w:rPr>
      </w:pPr>
      <w:r>
        <w:rPr>
          <w:rFonts w:hint="eastAsia" w:ascii="仿宋_GB2312" w:hAnsi="宋体" w:eastAsia="仿宋_GB2312" w:cs="楷体_GB2312"/>
          <w:b/>
          <w:w w:val="98"/>
          <w:kern w:val="2"/>
          <w:sz w:val="32"/>
          <w:szCs w:val="32"/>
        </w:rPr>
        <w:t>方向</w:t>
      </w:r>
      <w:r>
        <w:rPr>
          <w:rFonts w:hint="eastAsia" w:ascii="Times New Roman" w:hAnsi="Times New Roman" w:eastAsia="仿宋_GB2312" w:cs="Times New Roman"/>
          <w:b/>
          <w:bCs/>
          <w:kern w:val="2"/>
          <w:sz w:val="32"/>
          <w:szCs w:val="32"/>
        </w:rPr>
        <w:t>9</w:t>
      </w:r>
      <w:r>
        <w:rPr>
          <w:rFonts w:hint="eastAsia" w:ascii="仿宋_GB2312" w:hAnsi="宋体" w:eastAsia="仿宋_GB2312" w:cs="楷体_GB2312"/>
          <w:b/>
          <w:w w:val="98"/>
          <w:kern w:val="2"/>
          <w:sz w:val="32"/>
          <w:szCs w:val="32"/>
        </w:rPr>
        <w:t>：乳品精深加工新质生产关键技术研究与产品开发</w:t>
      </w:r>
    </w:p>
    <w:p>
      <w:pPr>
        <w:widowControl w:val="0"/>
        <w:autoSpaceDE w:val="0"/>
        <w:autoSpaceDN w:val="0"/>
        <w:adjustRightInd/>
        <w:snapToGrid/>
        <w:spacing w:after="0" w:line="580" w:lineRule="exact"/>
        <w:ind w:firstLine="643" w:firstLineChars="200"/>
        <w:jc w:val="both"/>
        <w:rPr>
          <w:rFonts w:ascii="仿宋_GB2312" w:hAnsi="Calibri" w:eastAsia="仿宋_GB2312" w:cs="仿宋_GB2312"/>
          <w:b/>
          <w:bCs/>
          <w:color w:val="000000"/>
          <w:kern w:val="2"/>
          <w:sz w:val="32"/>
          <w:szCs w:val="32"/>
        </w:rPr>
      </w:pPr>
      <w:r>
        <w:rPr>
          <w:rFonts w:hint="eastAsia" w:ascii="仿宋_GB2312" w:hAnsi="Calibri" w:eastAsia="仿宋_GB2312" w:cs="仿宋_GB2312"/>
          <w:b/>
          <w:bCs/>
          <w:color w:val="000000"/>
          <w:kern w:val="2"/>
          <w:sz w:val="32"/>
          <w:szCs w:val="32"/>
        </w:rPr>
        <w:t>研究内容：</w:t>
      </w:r>
      <w:r>
        <w:rPr>
          <w:rFonts w:hint="eastAsia" w:ascii="仿宋_GB2312" w:hAnsi="Calibri" w:eastAsia="仿宋_GB2312" w:cs="仿宋_GB2312"/>
          <w:bCs/>
          <w:color w:val="000000"/>
          <w:kern w:val="2"/>
          <w:sz w:val="32"/>
          <w:szCs w:val="32"/>
        </w:rPr>
        <w:t>针对当前乳品精深加工技术储备不足、高新加工装备落后等问题，围绕乳品品质提升，筛选膜材料、优化膜组件，建立适于乳品除菌、浓缩和组分分离的高效膜分离生产线，研究原料乳微滤除菌工艺、超滤和纳滤分离乳蛋白和乳糖工艺，构建乳品膜分离连续性生产技术体系，开发</w:t>
      </w:r>
      <w:bookmarkStart w:id="4" w:name="_Hlk171763351"/>
      <w:r>
        <w:rPr>
          <w:rFonts w:hint="eastAsia" w:ascii="仿宋_GB2312" w:hAnsi="Calibri" w:eastAsia="仿宋_GB2312" w:cs="仿宋_GB2312"/>
          <w:bCs/>
          <w:color w:val="000000"/>
          <w:kern w:val="2"/>
          <w:sz w:val="32"/>
          <w:szCs w:val="32"/>
        </w:rPr>
        <w:t>低乳糖和减钠盐等优质乳制品</w:t>
      </w:r>
      <w:bookmarkEnd w:id="4"/>
      <w:r>
        <w:rPr>
          <w:rFonts w:hint="eastAsia" w:ascii="仿宋_GB2312" w:hAnsi="Calibri" w:eastAsia="仿宋_GB2312" w:cs="仿宋_GB2312"/>
          <w:bCs/>
          <w:color w:val="000000"/>
          <w:kern w:val="2"/>
          <w:sz w:val="32"/>
          <w:szCs w:val="32"/>
        </w:rPr>
        <w:t>，实现奶业新质生产力创新提升，推动我市奶业可持续高质量发展。</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
          <w:bCs/>
          <w:color w:val="000000"/>
          <w:kern w:val="2"/>
          <w:sz w:val="32"/>
          <w:szCs w:val="32"/>
        </w:rPr>
        <w:t>考核指标：</w:t>
      </w:r>
      <w:r>
        <w:rPr>
          <w:rFonts w:hint="eastAsia" w:ascii="仿宋_GB2312" w:hAnsi="Calibri" w:eastAsia="仿宋_GB2312" w:cs="仿宋_GB2312"/>
          <w:bCs/>
          <w:color w:val="000000"/>
          <w:kern w:val="2"/>
          <w:sz w:val="32"/>
          <w:szCs w:val="32"/>
        </w:rPr>
        <w:t>建立乳品膜分离生产线1-2条，形成低乳糖、减钠盐、原生高蛋白巴氏杀菌乳和酸奶等优质乳制品4-6种，低乳糖产品中乳糖含量≤2g/100g,减钠盐产品中钠盐减少量≥20%，高蛋白巴氏杀菌乳中原生蛋白质含量≥4.0g/100g, 高蛋白酸奶中原生蛋白质含量≥6.0g/100g。项目实施期内，新增产值不少于4000万元，新增利税不少于600万元。申报发明专利2-3项，制定技术标准2-3项，发表论文2-3篇，培养研究生2-3人，开发科研助理岗位不少于2个。</w:t>
      </w:r>
    </w:p>
    <w:p>
      <w:pPr>
        <w:widowControl w:val="0"/>
        <w:adjustRightInd/>
        <w:snapToGrid/>
        <w:spacing w:after="0" w:line="580" w:lineRule="exact"/>
        <w:ind w:firstLine="641"/>
        <w:jc w:val="both"/>
        <w:rPr>
          <w:rFonts w:ascii="仿宋_GB2312" w:hAnsi="Calibri" w:eastAsia="仿宋_GB2312" w:cs="仿宋_GB2312"/>
          <w:bCs/>
          <w:color w:val="000000"/>
          <w:kern w:val="2"/>
          <w:sz w:val="32"/>
          <w:szCs w:val="32"/>
        </w:rPr>
      </w:pPr>
      <w:r>
        <w:rPr>
          <w:rFonts w:hint="eastAsia" w:ascii="仿宋_GB2312" w:hAnsi="Calibri" w:eastAsia="仿宋_GB2312" w:cs="仿宋_GB2312"/>
          <w:bCs/>
          <w:color w:val="000000"/>
          <w:kern w:val="2"/>
          <w:sz w:val="32"/>
          <w:szCs w:val="32"/>
        </w:rPr>
        <w:t>拟支持项目1项，支持金额不超过100万元。</w:t>
      </w:r>
    </w:p>
    <w:p>
      <w:pPr>
        <w:widowControl w:val="0"/>
        <w:adjustRightInd/>
        <w:snapToGrid/>
        <w:spacing w:after="0" w:line="580" w:lineRule="exact"/>
        <w:ind w:firstLine="643" w:firstLineChars="200"/>
        <w:jc w:val="both"/>
        <w:rPr>
          <w:rFonts w:ascii="仿宋_GB2312" w:hAnsi="宋体" w:eastAsia="仿宋_GB2312" w:cs="楷体_GB2312"/>
          <w:b/>
          <w:kern w:val="2"/>
          <w:sz w:val="32"/>
          <w:szCs w:val="32"/>
        </w:rPr>
      </w:pPr>
      <w:r>
        <w:rPr>
          <w:rFonts w:hint="eastAsia" w:ascii="仿宋_GB2312" w:hAnsi="宋体" w:eastAsia="仿宋_GB2312" w:cs="楷体_GB2312"/>
          <w:b/>
          <w:kern w:val="2"/>
          <w:sz w:val="32"/>
          <w:szCs w:val="32"/>
        </w:rPr>
        <w:t>方向1</w:t>
      </w:r>
      <w:r>
        <w:rPr>
          <w:rFonts w:hint="eastAsia" w:ascii="Times New Roman" w:hAnsi="Times New Roman" w:eastAsia="仿宋_GB2312" w:cs="Times New Roman"/>
          <w:b/>
          <w:bCs/>
          <w:kern w:val="2"/>
          <w:sz w:val="32"/>
          <w:szCs w:val="32"/>
        </w:rPr>
        <w:t>0</w:t>
      </w:r>
      <w:r>
        <w:rPr>
          <w:rFonts w:hint="eastAsia" w:ascii="仿宋_GB2312" w:hAnsi="宋体" w:eastAsia="仿宋_GB2312" w:cs="楷体_GB2312"/>
          <w:b/>
          <w:kern w:val="2"/>
          <w:sz w:val="32"/>
          <w:szCs w:val="32"/>
        </w:rPr>
        <w:t>：高效低损蒜薹采收技术装备创制与示范推广</w:t>
      </w:r>
    </w:p>
    <w:p>
      <w:pPr>
        <w:widowControl w:val="0"/>
        <w:autoSpaceDE w:val="0"/>
        <w:autoSpaceDN w:val="0"/>
        <w:adjustRightInd/>
        <w:snapToGrid/>
        <w:spacing w:after="0" w:line="580" w:lineRule="exact"/>
        <w:ind w:firstLine="643" w:firstLineChars="200"/>
        <w:jc w:val="both"/>
        <w:rPr>
          <w:rFonts w:ascii="Times New Roman" w:hAnsi="Times New Roman" w:eastAsia="宋体" w:cs="Calibri"/>
          <w:kern w:val="2"/>
          <w:sz w:val="21"/>
          <w:szCs w:val="21"/>
        </w:rPr>
      </w:pPr>
      <w:r>
        <w:rPr>
          <w:rFonts w:ascii="Times New Roman" w:hAnsi="Times New Roman" w:eastAsia="仿宋_GB2312" w:cs="Calibri"/>
          <w:b/>
          <w:bCs/>
          <w:color w:val="000000"/>
          <w:kern w:val="2"/>
          <w:sz w:val="32"/>
          <w:szCs w:val="32"/>
        </w:rPr>
        <w:t>研究内容：</w:t>
      </w:r>
      <w:r>
        <w:rPr>
          <w:rFonts w:ascii="Times New Roman" w:hAnsi="Times New Roman" w:eastAsia="仿宋_GB2312" w:cs="Calibri"/>
          <w:color w:val="000000"/>
          <w:kern w:val="2"/>
          <w:sz w:val="32"/>
          <w:szCs w:val="32"/>
        </w:rPr>
        <w:t>针对蒜薹采收效率低、拔薹损伤率高、蒜薹品相适应性不强</w:t>
      </w:r>
      <w:r>
        <w:rPr>
          <w:rFonts w:hint="eastAsia" w:ascii="Times New Roman" w:hAnsi="Times New Roman" w:eastAsia="仿宋_GB2312" w:cs="Calibri"/>
          <w:color w:val="000000"/>
          <w:kern w:val="2"/>
          <w:sz w:val="32"/>
          <w:szCs w:val="32"/>
        </w:rPr>
        <w:t>等</w:t>
      </w:r>
      <w:r>
        <w:rPr>
          <w:rFonts w:ascii="Times New Roman" w:hAnsi="Times New Roman" w:eastAsia="仿宋_GB2312" w:cs="Calibri"/>
          <w:color w:val="000000"/>
          <w:kern w:val="2"/>
          <w:sz w:val="32"/>
          <w:szCs w:val="32"/>
        </w:rPr>
        <w:t>问题，研究蒜薹生物力学特性、多传感器多模态数据融合、非结构化复杂环境智能感知与自主避障等技术，阐明蒜薹采收成功率、拔薹损伤率对智能采收模式的响应机制，开发蒜薹</w:t>
      </w:r>
      <w:r>
        <w:rPr>
          <w:rFonts w:hint="eastAsia" w:ascii="Times New Roman" w:hAnsi="Times New Roman" w:eastAsia="仿宋_GB2312" w:cs="Calibri"/>
          <w:color w:val="000000"/>
          <w:kern w:val="2"/>
          <w:sz w:val="32"/>
          <w:szCs w:val="32"/>
        </w:rPr>
        <w:t>关键</w:t>
      </w:r>
      <w:r>
        <w:rPr>
          <w:rFonts w:ascii="Times New Roman" w:hAnsi="Times New Roman" w:eastAsia="仿宋_GB2312" w:cs="Calibri"/>
          <w:color w:val="000000"/>
          <w:kern w:val="2"/>
          <w:sz w:val="32"/>
          <w:szCs w:val="32"/>
        </w:rPr>
        <w:t>采收部件，创制多行作业幅宽的蒜薹</w:t>
      </w:r>
      <w:r>
        <w:rPr>
          <w:rFonts w:hint="eastAsia" w:ascii="Times New Roman" w:hAnsi="Times New Roman" w:eastAsia="仿宋_GB2312" w:cs="Calibri"/>
          <w:color w:val="000000"/>
          <w:kern w:val="2"/>
          <w:sz w:val="32"/>
          <w:szCs w:val="32"/>
        </w:rPr>
        <w:t>智能</w:t>
      </w:r>
      <w:r>
        <w:rPr>
          <w:rFonts w:ascii="Times New Roman" w:hAnsi="Times New Roman" w:eastAsia="仿宋_GB2312" w:cs="Calibri"/>
          <w:color w:val="000000"/>
          <w:kern w:val="2"/>
          <w:sz w:val="32"/>
          <w:szCs w:val="32"/>
        </w:rPr>
        <w:t>采收作业平台，实现蒜薹连续、高效、无损采摘</w:t>
      </w:r>
      <w:r>
        <w:rPr>
          <w:rFonts w:hint="eastAsia" w:ascii="Times New Roman" w:hAnsi="Times New Roman" w:eastAsia="仿宋_GB2312" w:cs="Calibri"/>
          <w:color w:val="000000"/>
          <w:kern w:val="2"/>
          <w:sz w:val="32"/>
          <w:szCs w:val="32"/>
        </w:rPr>
        <w:t>，助力提高青岛市大蒜农业质量效益和产业竞争力，为</w:t>
      </w:r>
      <w:r>
        <w:rPr>
          <w:rFonts w:ascii="Times New Roman" w:hAnsi="Times New Roman" w:eastAsia="仿宋_GB2312" w:cs="Calibri"/>
          <w:color w:val="000000"/>
          <w:kern w:val="2"/>
          <w:sz w:val="32"/>
          <w:szCs w:val="32"/>
        </w:rPr>
        <w:t>设施农业可持续发展</w:t>
      </w:r>
      <w:r>
        <w:rPr>
          <w:rFonts w:hint="eastAsia" w:ascii="Times New Roman" w:hAnsi="Times New Roman" w:eastAsia="仿宋_GB2312" w:cs="Calibri"/>
          <w:color w:val="000000"/>
          <w:kern w:val="2"/>
          <w:sz w:val="32"/>
          <w:szCs w:val="32"/>
        </w:rPr>
        <w:t>提供技术储备</w:t>
      </w:r>
      <w:r>
        <w:rPr>
          <w:rFonts w:ascii="Times New Roman" w:hAnsi="Times New Roman" w:eastAsia="仿宋_GB2312" w:cs="Calibri"/>
          <w:color w:val="000000"/>
          <w:kern w:val="2"/>
          <w:sz w:val="32"/>
          <w:szCs w:val="32"/>
        </w:rPr>
        <w:t>。</w:t>
      </w:r>
    </w:p>
    <w:p>
      <w:pPr>
        <w:widowControl w:val="0"/>
        <w:autoSpaceDE w:val="0"/>
        <w:autoSpaceDN w:val="0"/>
        <w:adjustRightInd/>
        <w:snapToGrid/>
        <w:spacing w:after="0" w:line="580" w:lineRule="exact"/>
        <w:ind w:firstLine="643" w:firstLineChars="200"/>
        <w:jc w:val="both"/>
        <w:rPr>
          <w:rFonts w:ascii="Times New Roman" w:hAnsi="Times New Roman" w:eastAsia="仿宋_GB2312" w:cs="Calibri"/>
          <w:kern w:val="2"/>
          <w:sz w:val="32"/>
          <w:szCs w:val="32"/>
        </w:rPr>
      </w:pPr>
      <w:r>
        <w:rPr>
          <w:rFonts w:ascii="Times New Roman" w:hAnsi="Times New Roman" w:eastAsia="仿宋_GB2312" w:cs="Calibri"/>
          <w:b/>
          <w:bCs/>
          <w:color w:val="000000"/>
          <w:kern w:val="2"/>
          <w:sz w:val="32"/>
          <w:szCs w:val="32"/>
        </w:rPr>
        <w:t>考核指标：</w:t>
      </w:r>
      <w:r>
        <w:rPr>
          <w:rFonts w:hint="eastAsia" w:ascii="Times New Roman" w:hAnsi="Times New Roman" w:eastAsia="仿宋_GB2312" w:cs="Calibri"/>
          <w:kern w:val="2"/>
          <w:sz w:val="32"/>
          <w:szCs w:val="32"/>
        </w:rPr>
        <w:t>建立蒜薹机械化、自动化、智能化采收体系，研制蒜薹采收关键部件并形成蒜薹智能采收作业平台不少于2台套；蒜薹识别准确率≥95%，成功拔薹率≥90%，采收损伤率≤5%，智能化控制精度≥90%，作业幅宽≥1m。项目实施期间，</w:t>
      </w:r>
      <w:r>
        <w:rPr>
          <w:rFonts w:hint="eastAsia" w:ascii="Times New Roman" w:hAnsi="Times New Roman" w:eastAsia="仿宋_GB2312" w:cs="Times New Roman"/>
          <w:kern w:val="2"/>
          <w:sz w:val="32"/>
          <w:szCs w:val="32"/>
        </w:rPr>
        <w:t>建立示范基地不少于1个，生产作业示范及推广面积5000亩以上；</w:t>
      </w:r>
      <w:r>
        <w:rPr>
          <w:rFonts w:hint="eastAsia" w:ascii="Times New Roman" w:hAnsi="Times New Roman" w:eastAsia="仿宋_GB2312" w:cs="Calibri"/>
          <w:kern w:val="2"/>
          <w:sz w:val="32"/>
          <w:szCs w:val="32"/>
        </w:rPr>
        <w:t>申报专利不少于2项，制定行业标准不少于1项；开发科研助理岗位不少于2个，培养研究生不少于2名，培训乡村技术人员不少于100人次。</w:t>
      </w:r>
    </w:p>
    <w:p>
      <w:pPr>
        <w:shd w:val="clear" w:color="auto" w:fill="FFFFFF"/>
        <w:spacing w:after="0" w:line="580" w:lineRule="exact"/>
        <w:ind w:firstLine="640" w:firstLineChars="200"/>
        <w:rPr>
          <w:rStyle w:val="9"/>
          <w:rFonts w:ascii="仿宋_GB2312" w:eastAsia="仿宋_GB2312" w:cs="Calibri"/>
          <w:kern w:val="2"/>
        </w:rPr>
      </w:pPr>
      <w:r>
        <w:rPr>
          <w:rFonts w:ascii="Times New Roman" w:hAnsi="Times New Roman" w:eastAsia="仿宋_GB2312" w:cs="Calibri"/>
          <w:kern w:val="2"/>
          <w:sz w:val="32"/>
          <w:szCs w:val="32"/>
        </w:rPr>
        <w:t>拟支持项目1项，支持金额不超过1</w:t>
      </w:r>
      <w:r>
        <w:rPr>
          <w:rFonts w:hint="eastAsia" w:ascii="Times New Roman" w:hAnsi="Times New Roman" w:eastAsia="仿宋_GB2312" w:cs="Calibri"/>
          <w:kern w:val="2"/>
          <w:sz w:val="32"/>
          <w:szCs w:val="32"/>
        </w:rPr>
        <w:t>0</w:t>
      </w:r>
      <w:r>
        <w:rPr>
          <w:rFonts w:ascii="Times New Roman" w:hAnsi="Times New Roman" w:eastAsia="仿宋_GB2312" w:cs="Calibri"/>
          <w:kern w:val="2"/>
          <w:sz w:val="32"/>
          <w:szCs w:val="32"/>
        </w:rPr>
        <w:t>0万元。</w:t>
      </w:r>
    </w:p>
    <w:p>
      <w:pPr>
        <w:widowControl w:val="0"/>
        <w:adjustRightInd/>
        <w:snapToGrid/>
        <w:spacing w:after="0" w:line="580" w:lineRule="exact"/>
        <w:ind w:firstLine="645"/>
        <w:jc w:val="both"/>
        <w:outlineLvl w:val="0"/>
        <w:rPr>
          <w:rFonts w:ascii="黑体" w:hAnsi="楷体" w:eastAsia="黑体" w:cs="Times New Roman"/>
          <w:color w:val="000000"/>
          <w:kern w:val="2"/>
          <w:sz w:val="32"/>
          <w:szCs w:val="32"/>
        </w:rPr>
      </w:pPr>
      <w:r>
        <w:rPr>
          <w:rFonts w:hint="eastAsia" w:ascii="黑体" w:hAnsi="楷体" w:eastAsia="黑体" w:cs="黑体"/>
          <w:color w:val="000000"/>
          <w:kern w:val="2"/>
          <w:sz w:val="32"/>
          <w:szCs w:val="32"/>
        </w:rPr>
        <w:t>二、申报条件</w:t>
      </w:r>
    </w:p>
    <w:p>
      <w:pPr>
        <w:widowControl w:val="0"/>
        <w:adjustRightInd/>
        <w:snapToGrid/>
        <w:spacing w:after="0" w:line="580" w:lineRule="exact"/>
        <w:ind w:firstLine="646"/>
        <w:jc w:val="both"/>
        <w:outlineLvl w:val="1"/>
        <w:rPr>
          <w:rFonts w:ascii="仿宋_GB2312" w:hAnsi="Calibri" w:eastAsia="仿宋_GB2312" w:cs="仿宋_GB2312"/>
          <w:kern w:val="2"/>
          <w:sz w:val="32"/>
          <w:szCs w:val="32"/>
        </w:rPr>
      </w:pPr>
      <w:r>
        <w:rPr>
          <w:rFonts w:hint="eastAsia" w:ascii="仿宋_GB2312" w:hAnsi="楷体" w:eastAsia="仿宋_GB2312" w:cs="楷体_GB2312"/>
          <w:kern w:val="2"/>
          <w:sz w:val="32"/>
          <w:szCs w:val="32"/>
        </w:rPr>
        <w:t>（一）</w:t>
      </w:r>
      <w:r>
        <w:rPr>
          <w:rFonts w:hint="eastAsia" w:ascii="仿宋_GB2312" w:hAnsi="楷体" w:eastAsia="仿宋_GB2312" w:cs="仿宋_GB2312"/>
          <w:kern w:val="2"/>
          <w:sz w:val="32"/>
          <w:szCs w:val="32"/>
        </w:rPr>
        <w:t>申报项目必须符合本指南所规定的支持领域和方向</w:t>
      </w:r>
      <w:r>
        <w:rPr>
          <w:rFonts w:hint="eastAsia" w:ascii="仿宋_GB2312" w:hAnsi="Calibri" w:eastAsia="仿宋_GB2312" w:cs="仿宋_GB2312"/>
          <w:kern w:val="2"/>
          <w:sz w:val="32"/>
          <w:szCs w:val="32"/>
        </w:rPr>
        <w:t>，创新性强、技术含量高，实施方案科学合理，技术路线成熟，预期目标明确，经费预算合理。</w:t>
      </w:r>
    </w:p>
    <w:p>
      <w:pPr>
        <w:widowControl w:val="0"/>
        <w:adjustRightInd/>
        <w:snapToGrid/>
        <w:spacing w:after="0" w:line="580" w:lineRule="exact"/>
        <w:ind w:firstLine="646"/>
        <w:jc w:val="both"/>
        <w:outlineLvl w:val="1"/>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二）项目申报单位须为在青岛市注册、具有独立法人资格的医疗机构或企事业单位，其中生命健康领域项目须有医疗机构参与。科技特派员项目须企业牵头申报,项目核心成员（前三位）必须均为由科技主管部门认定，并在山东省特派员管理系统注册备案的科技特派员。优先支持产学研协同创新项目。</w:t>
      </w:r>
    </w:p>
    <w:p>
      <w:pPr>
        <w:widowControl w:val="0"/>
        <w:adjustRightInd/>
        <w:snapToGrid/>
        <w:spacing w:after="0" w:line="580" w:lineRule="exact"/>
        <w:ind w:firstLine="646"/>
        <w:jc w:val="both"/>
        <w:outlineLvl w:val="1"/>
        <w:rPr>
          <w:rFonts w:ascii="仿宋_GB2312" w:hAnsi="Calibri" w:eastAsia="仿宋_GB2312" w:cs="Times New Roman"/>
          <w:kern w:val="2"/>
          <w:sz w:val="32"/>
          <w:szCs w:val="32"/>
        </w:rPr>
      </w:pPr>
      <w:r>
        <w:rPr>
          <w:rFonts w:hint="eastAsia" w:ascii="仿宋_GB2312" w:hAnsi="Calibri" w:eastAsia="仿宋_GB2312" w:cs="仿宋_GB2312"/>
          <w:kern w:val="2"/>
          <w:sz w:val="32"/>
          <w:szCs w:val="32"/>
        </w:rPr>
        <w:t>（三）申报单位应具有较强的技术创新能力、管理水平和人才团队。具备完成项目所必须的基础条件，须拥有项目核心技术的所有权或使用权，无知识产权纠纷。</w:t>
      </w:r>
    </w:p>
    <w:p>
      <w:pPr>
        <w:widowControl w:val="0"/>
        <w:adjustRightInd/>
        <w:snapToGrid/>
        <w:spacing w:after="0" w:line="580" w:lineRule="exact"/>
        <w:ind w:firstLine="646"/>
        <w:jc w:val="both"/>
        <w:outlineLvl w:val="1"/>
        <w:rPr>
          <w:rFonts w:ascii="仿宋_GB2312" w:hAnsi="楷体" w:eastAsia="仿宋_GB2312" w:cs="仿宋_GB2312"/>
          <w:kern w:val="2"/>
          <w:sz w:val="32"/>
          <w:szCs w:val="32"/>
        </w:rPr>
      </w:pPr>
      <w:r>
        <w:rPr>
          <w:rFonts w:hint="eastAsia" w:ascii="仿宋_GB2312" w:hAnsi="楷体" w:eastAsia="仿宋_GB2312" w:cs="楷体_GB2312"/>
          <w:kern w:val="2"/>
          <w:sz w:val="32"/>
          <w:szCs w:val="32"/>
        </w:rPr>
        <w:t>（四）</w:t>
      </w:r>
      <w:r>
        <w:rPr>
          <w:rFonts w:hint="eastAsia" w:ascii="仿宋_GB2312" w:hAnsi="楷体" w:eastAsia="仿宋_GB2312" w:cs="仿宋_GB2312"/>
          <w:kern w:val="2"/>
          <w:sz w:val="32"/>
          <w:szCs w:val="32"/>
        </w:rPr>
        <w:t>申报单位应具有健全的专项资金管理制度（或办法），对项目资金能够全面实行预算管理，科研经费设专账管理、专款专用。</w:t>
      </w:r>
    </w:p>
    <w:p>
      <w:pPr>
        <w:widowControl w:val="0"/>
        <w:adjustRightInd/>
        <w:snapToGrid/>
        <w:spacing w:after="0" w:line="580" w:lineRule="exact"/>
        <w:ind w:firstLine="640" w:firstLineChars="200"/>
        <w:jc w:val="both"/>
        <w:rPr>
          <w:rFonts w:ascii="仿宋_GB2312" w:hAnsi="宋体" w:eastAsia="仿宋_GB2312" w:cs="宋体"/>
          <w:kern w:val="2"/>
          <w:sz w:val="32"/>
          <w:szCs w:val="32"/>
        </w:rPr>
      </w:pPr>
      <w:r>
        <w:rPr>
          <w:rFonts w:hint="eastAsia" w:ascii="仿宋_GB2312" w:hAnsi="宋体" w:eastAsia="仿宋_GB2312" w:cs="宋体"/>
          <w:kern w:val="2"/>
          <w:sz w:val="32"/>
          <w:szCs w:val="32"/>
        </w:rPr>
        <w:t>（五）申报单位要对申报材料的科学性、有效性、真实性、完整性负责。经审核发现申报材料有不实情况的，取消申报单位项目评审和承担资格，并记入科研诚信档案。</w:t>
      </w:r>
      <w:r>
        <w:rPr>
          <w:rFonts w:hint="eastAsia" w:ascii="仿宋_GB2312" w:hAnsi="Calibri" w:eastAsia="仿宋_GB2312" w:cs="Calibri"/>
          <w:sz w:val="32"/>
          <w:szCs w:val="32"/>
        </w:rPr>
        <w:t>同一申报单位同一指南方向只能申报一项。近3年内有验收不通过的市科技计划项目的承担单位（企业类）、项目负责人（非企业类）不得申报。</w:t>
      </w:r>
    </w:p>
    <w:p>
      <w:pPr>
        <w:widowControl w:val="0"/>
        <w:adjustRightInd/>
        <w:snapToGrid/>
        <w:spacing w:after="0" w:line="580" w:lineRule="exact"/>
        <w:ind w:firstLine="640" w:firstLineChars="200"/>
        <w:jc w:val="both"/>
        <w:rPr>
          <w:rFonts w:ascii="仿宋_GB2312" w:hAnsi="宋体" w:eastAsia="仿宋_GB2312" w:cs="宋体"/>
          <w:kern w:val="2"/>
          <w:sz w:val="32"/>
          <w:szCs w:val="32"/>
        </w:rPr>
      </w:pPr>
      <w:r>
        <w:rPr>
          <w:rFonts w:hint="eastAsia" w:ascii="仿宋_GB2312" w:hAnsi="宋体" w:eastAsia="仿宋_GB2312" w:cs="宋体"/>
          <w:kern w:val="2"/>
          <w:sz w:val="32"/>
          <w:szCs w:val="32"/>
        </w:rPr>
        <w:t>（六）申报项目须明确项目负责人。项目负责人应具有领导和组织开展创新性研究的能力，科研信用记录良好，</w:t>
      </w:r>
      <w:r>
        <w:rPr>
          <w:rFonts w:ascii="仿宋_GB2312" w:hAnsi="宋体" w:eastAsia="仿宋_GB2312" w:cs="宋体"/>
          <w:kern w:val="2"/>
          <w:sz w:val="32"/>
          <w:szCs w:val="32"/>
        </w:rPr>
        <w:t>年龄一般不超过</w:t>
      </w:r>
      <w:r>
        <w:rPr>
          <w:rFonts w:hint="eastAsia" w:ascii="仿宋_GB2312" w:hAnsi="宋体" w:eastAsia="仿宋_GB2312" w:cs="宋体"/>
          <w:kern w:val="2"/>
          <w:sz w:val="32"/>
          <w:szCs w:val="32"/>
        </w:rPr>
        <w:t>6</w:t>
      </w:r>
      <w:r>
        <w:rPr>
          <w:rFonts w:ascii="仿宋_GB2312" w:hAnsi="宋体" w:eastAsia="仿宋_GB2312" w:cs="宋体"/>
          <w:kern w:val="2"/>
          <w:sz w:val="32"/>
          <w:szCs w:val="32"/>
        </w:rPr>
        <w:t>0</w:t>
      </w:r>
      <w:r>
        <w:rPr>
          <w:rFonts w:hint="eastAsia" w:ascii="仿宋_GB2312" w:hAnsi="宋体" w:eastAsia="仿宋_GB2312" w:cs="宋体"/>
          <w:kern w:val="2"/>
          <w:sz w:val="32"/>
          <w:szCs w:val="32"/>
        </w:rPr>
        <w:t>岁。有超过1项（不含1项）在研项目的项目负责人不得申报（正常参加2024年验收的项目除外）。</w:t>
      </w:r>
      <w:r>
        <w:rPr>
          <w:rFonts w:ascii="仿宋_GB2312" w:hAnsi="宋体" w:eastAsia="仿宋_GB2312" w:cs="宋体"/>
          <w:kern w:val="2"/>
          <w:sz w:val="32"/>
          <w:szCs w:val="32"/>
        </w:rPr>
        <w:t>参加过</w:t>
      </w:r>
      <w:r>
        <w:rPr>
          <w:rFonts w:hint="eastAsia" w:ascii="仿宋_GB2312" w:hAnsi="宋体" w:eastAsia="仿宋_GB2312" w:cs="宋体"/>
          <w:kern w:val="2"/>
          <w:sz w:val="32"/>
          <w:szCs w:val="32"/>
        </w:rPr>
        <w:t>相关</w:t>
      </w:r>
      <w:r>
        <w:rPr>
          <w:rFonts w:ascii="仿宋_GB2312" w:hAnsi="宋体" w:eastAsia="仿宋_GB2312" w:cs="宋体"/>
          <w:kern w:val="2"/>
          <w:sz w:val="32"/>
          <w:szCs w:val="32"/>
        </w:rPr>
        <w:t>指南</w:t>
      </w:r>
      <w:r>
        <w:rPr>
          <w:rFonts w:hint="eastAsia" w:ascii="仿宋_GB2312" w:hAnsi="宋体" w:eastAsia="仿宋_GB2312" w:cs="宋体"/>
          <w:kern w:val="2"/>
          <w:sz w:val="32"/>
          <w:szCs w:val="32"/>
        </w:rPr>
        <w:t>咨询</w:t>
      </w:r>
      <w:r>
        <w:rPr>
          <w:rFonts w:ascii="仿宋_GB2312" w:hAnsi="宋体" w:eastAsia="仿宋_GB2312" w:cs="宋体"/>
          <w:kern w:val="2"/>
          <w:sz w:val="32"/>
          <w:szCs w:val="32"/>
        </w:rPr>
        <w:t>论证的专家不得作为项目负责人或项目团队成员申报。</w:t>
      </w:r>
      <w:r>
        <w:rPr>
          <w:rFonts w:hint="eastAsia" w:ascii="仿宋_GB2312" w:hAnsi="宋体" w:eastAsia="仿宋_GB2312" w:cs="宋体"/>
          <w:kern w:val="2"/>
          <w:sz w:val="32"/>
          <w:szCs w:val="32"/>
        </w:rPr>
        <w:t>鼓励青年科技人才和女性科技人才积极参与</w:t>
      </w:r>
      <w:r>
        <w:rPr>
          <w:rFonts w:ascii="仿宋_GB2312" w:hAnsi="宋体" w:eastAsia="仿宋_GB2312" w:cs="宋体"/>
          <w:kern w:val="2"/>
          <w:sz w:val="32"/>
          <w:szCs w:val="32"/>
        </w:rPr>
        <w:t>项目申报</w:t>
      </w:r>
      <w:r>
        <w:rPr>
          <w:rFonts w:hint="eastAsia" w:ascii="仿宋_GB2312" w:hAnsi="Calibri" w:eastAsia="仿宋_GB2312" w:cs="Calibri"/>
          <w:sz w:val="32"/>
          <w:szCs w:val="32"/>
        </w:rPr>
        <w:t>。</w:t>
      </w:r>
    </w:p>
    <w:p>
      <w:pPr>
        <w:widowControl w:val="0"/>
        <w:adjustRightInd/>
        <w:snapToGrid/>
        <w:spacing w:after="0" w:line="580" w:lineRule="exact"/>
        <w:ind w:firstLine="640" w:firstLineChars="200"/>
        <w:jc w:val="both"/>
        <w:rPr>
          <w:rFonts w:ascii="仿宋_GB2312" w:hAnsi="宋体" w:eastAsia="仿宋_GB2312" w:cs="宋体"/>
          <w:kern w:val="2"/>
          <w:sz w:val="32"/>
          <w:szCs w:val="32"/>
        </w:rPr>
      </w:pPr>
      <w:r>
        <w:rPr>
          <w:rFonts w:hint="eastAsia" w:ascii="仿宋_GB2312" w:hAnsi="宋体" w:eastAsia="仿宋_GB2312" w:cs="宋体"/>
          <w:kern w:val="2"/>
          <w:sz w:val="32"/>
          <w:szCs w:val="32"/>
        </w:rPr>
        <w:t>（七）联合申报须签订联合申报协议，明确各自承担的工作任务和目标、知识产权和利益归属、合作经费（包括自筹经费）的额度和来源等。</w:t>
      </w:r>
    </w:p>
    <w:p>
      <w:pPr>
        <w:widowControl w:val="0"/>
        <w:adjustRightInd/>
        <w:snapToGrid/>
        <w:spacing w:after="0" w:line="560" w:lineRule="exact"/>
        <w:ind w:firstLine="640" w:firstLineChars="200"/>
        <w:jc w:val="both"/>
        <w:rPr>
          <w:rFonts w:ascii="仿宋_GB2312" w:hAnsi="宋体" w:eastAsia="仿宋_GB2312" w:cs="宋体"/>
          <w:kern w:val="2"/>
          <w:sz w:val="32"/>
          <w:szCs w:val="32"/>
        </w:rPr>
      </w:pPr>
      <w:r>
        <w:rPr>
          <w:rFonts w:hint="eastAsia" w:ascii="楷体_GB2312" w:hAnsi="宋体" w:eastAsia="楷体_GB2312" w:cs="宋体"/>
          <w:kern w:val="2"/>
          <w:sz w:val="32"/>
          <w:szCs w:val="32"/>
        </w:rPr>
        <w:t>（八）</w:t>
      </w:r>
      <w:r>
        <w:rPr>
          <w:rFonts w:hint="eastAsia" w:ascii="仿宋_GB2312" w:hAnsi="宋体" w:eastAsia="仿宋_GB2312" w:cs="宋体"/>
          <w:kern w:val="2"/>
          <w:sz w:val="32"/>
          <w:szCs w:val="32"/>
        </w:rPr>
        <w:t>申报单位为科技统计调查纳统单位的，应提供上年度研发统计填报材料。规上工业、服务业、建筑业企业为</w:t>
      </w:r>
      <w:r>
        <w:rPr>
          <w:rFonts w:ascii="仿宋_GB2312" w:hAnsi="宋体" w:eastAsia="仿宋_GB2312" w:cs="宋体"/>
          <w:kern w:val="2"/>
          <w:sz w:val="32"/>
          <w:szCs w:val="32"/>
        </w:rPr>
        <w:t>202</w:t>
      </w:r>
      <w:r>
        <w:rPr>
          <w:rFonts w:hint="eastAsia" w:ascii="仿宋_GB2312" w:hAnsi="宋体" w:eastAsia="仿宋_GB2312" w:cs="宋体"/>
          <w:kern w:val="2"/>
          <w:sz w:val="32"/>
          <w:szCs w:val="32"/>
        </w:rPr>
        <w:t>3年度《企业研发项目情况表》（6</w:t>
      </w:r>
      <w:r>
        <w:rPr>
          <w:rFonts w:ascii="仿宋_GB2312" w:hAnsi="宋体" w:eastAsia="仿宋_GB2312" w:cs="宋体"/>
          <w:kern w:val="2"/>
          <w:sz w:val="32"/>
          <w:szCs w:val="32"/>
        </w:rPr>
        <w:t>07-1</w:t>
      </w:r>
      <w:r>
        <w:rPr>
          <w:rFonts w:hint="eastAsia" w:ascii="仿宋_GB2312" w:hAnsi="宋体" w:eastAsia="仿宋_GB2312" w:cs="宋体"/>
          <w:kern w:val="2"/>
          <w:sz w:val="32"/>
          <w:szCs w:val="32"/>
        </w:rPr>
        <w:t>表）和《企业研发活动及相关情况表》（6</w:t>
      </w:r>
      <w:r>
        <w:rPr>
          <w:rFonts w:ascii="仿宋_GB2312" w:hAnsi="宋体" w:eastAsia="仿宋_GB2312" w:cs="宋体"/>
          <w:kern w:val="2"/>
          <w:sz w:val="32"/>
          <w:szCs w:val="32"/>
        </w:rPr>
        <w:t>07-2</w:t>
      </w:r>
      <w:r>
        <w:rPr>
          <w:rFonts w:hint="eastAsia" w:ascii="仿宋_GB2312" w:hAnsi="宋体" w:eastAsia="仿宋_GB2312" w:cs="宋体"/>
          <w:kern w:val="2"/>
          <w:sz w:val="32"/>
          <w:szCs w:val="32"/>
        </w:rPr>
        <w:t>表）。医疗机构为2023年度《医疗科研项目（课题）情况》（</w:t>
      </w:r>
      <w:r>
        <w:rPr>
          <w:rFonts w:ascii="仿宋_GB2312" w:hAnsi="宋体" w:eastAsia="仿宋_GB2312" w:cs="宋体"/>
          <w:kern w:val="2"/>
          <w:sz w:val="32"/>
          <w:szCs w:val="32"/>
        </w:rPr>
        <w:t>107-4</w:t>
      </w:r>
      <w:r>
        <w:rPr>
          <w:rFonts w:hint="eastAsia" w:ascii="仿宋_GB2312" w:hAnsi="宋体" w:eastAsia="仿宋_GB2312" w:cs="宋体"/>
          <w:kern w:val="2"/>
          <w:sz w:val="32"/>
          <w:szCs w:val="32"/>
        </w:rPr>
        <w:t>）和《医院科研活动及相关情况》（</w:t>
      </w:r>
      <w:r>
        <w:rPr>
          <w:rFonts w:ascii="仿宋_GB2312" w:hAnsi="宋体" w:eastAsia="仿宋_GB2312" w:cs="宋体"/>
          <w:kern w:val="2"/>
          <w:sz w:val="32"/>
          <w:szCs w:val="32"/>
        </w:rPr>
        <w:t>107-5</w:t>
      </w:r>
      <w:r>
        <w:rPr>
          <w:rFonts w:hint="eastAsia" w:ascii="仿宋_GB2312" w:hAnsi="宋体" w:eastAsia="仿宋_GB2312" w:cs="宋体"/>
          <w:kern w:val="2"/>
          <w:sz w:val="32"/>
          <w:szCs w:val="32"/>
        </w:rPr>
        <w:t>）。</w:t>
      </w:r>
    </w:p>
    <w:p>
      <w:pPr>
        <w:widowControl w:val="0"/>
        <w:adjustRightInd/>
        <w:snapToGrid/>
        <w:spacing w:after="0" w:line="560" w:lineRule="exact"/>
        <w:ind w:firstLine="640" w:firstLineChars="200"/>
        <w:jc w:val="both"/>
        <w:rPr>
          <w:rFonts w:ascii="仿宋_GB2312" w:hAnsi="宋体" w:eastAsia="仿宋_GB2312" w:cs="宋体"/>
          <w:kern w:val="2"/>
          <w:sz w:val="32"/>
          <w:szCs w:val="32"/>
        </w:rPr>
      </w:pPr>
      <w:r>
        <w:rPr>
          <w:rFonts w:hint="eastAsia" w:ascii="仿宋_GB2312" w:hAnsi="宋体" w:eastAsia="仿宋_GB2312" w:cs="宋体"/>
          <w:kern w:val="2"/>
          <w:sz w:val="32"/>
          <w:szCs w:val="32"/>
        </w:rPr>
        <w:t>（九）</w:t>
      </w:r>
      <w:r>
        <w:rPr>
          <w:rFonts w:hint="eastAsia" w:ascii="仿宋_GB2312" w:eastAsia="仿宋_GB2312"/>
          <w:sz w:val="32"/>
          <w:szCs w:val="32"/>
        </w:rPr>
        <w:t>申报单位应按照国家、省、市相关要求，强化项目、人才一体化推进，积极引进、培养人才，并在项目申报材料中明确人才引进培养目标。同时，应积极开发科研助理岗位，吸纳高校毕业生就业，并在项目申报材料中明确科研助理信息。</w:t>
      </w:r>
    </w:p>
    <w:p>
      <w:pPr>
        <w:widowControl w:val="0"/>
        <w:adjustRightInd/>
        <w:snapToGrid/>
        <w:spacing w:after="0" w:line="560" w:lineRule="exact"/>
        <w:ind w:firstLine="640" w:firstLineChars="200"/>
        <w:jc w:val="both"/>
        <w:rPr>
          <w:rFonts w:ascii="仿宋_GB2312" w:hAnsi="Calibri" w:eastAsia="仿宋_GB2312" w:cs="Calibri"/>
          <w:kern w:val="2"/>
          <w:sz w:val="32"/>
          <w:szCs w:val="32"/>
        </w:rPr>
      </w:pPr>
      <w:r>
        <w:rPr>
          <w:rFonts w:hint="eastAsia" w:ascii="仿宋_GB2312" w:hAnsi="宋体" w:eastAsia="仿宋_GB2312" w:cs="宋体"/>
          <w:kern w:val="2"/>
          <w:sz w:val="32"/>
          <w:szCs w:val="32"/>
        </w:rPr>
        <w:t>（十）</w:t>
      </w:r>
      <w:r>
        <w:rPr>
          <w:rFonts w:hint="eastAsia" w:ascii="仿宋_GB2312" w:hAnsi="Calibri" w:eastAsia="仿宋_GB2312" w:cs="Calibri"/>
          <w:kern w:val="2"/>
          <w:sz w:val="32"/>
          <w:szCs w:val="32"/>
        </w:rPr>
        <w:t>若申报项目涉及科技伦理、科技安全、保密等相关问题，申报单位应当严格执行国家有关法律法规、伦理准则和保密要求。</w:t>
      </w:r>
    </w:p>
    <w:p>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560" w:lineRule="exact"/>
        <w:ind w:firstLine="645"/>
        <w:jc w:val="both"/>
        <w:rPr>
          <w:rFonts w:ascii="仿宋_GB2312" w:hAnsi="Calibri" w:eastAsia="仿宋_GB2312" w:cs="Calibri"/>
          <w:kern w:val="2"/>
          <w:sz w:val="32"/>
          <w:szCs w:val="32"/>
        </w:rPr>
      </w:pPr>
      <w:r>
        <w:rPr>
          <w:rFonts w:hint="eastAsia" w:ascii="仿宋_GB2312" w:hAnsi="Calibri" w:eastAsia="仿宋_GB2312" w:cs="Calibri"/>
          <w:kern w:val="2"/>
          <w:sz w:val="32"/>
          <w:szCs w:val="32"/>
        </w:rPr>
        <w:t>（十一）落实“绿色门槛”制度。按照《关于深入推进财政涉企资金“绿色门槛”制度的实施意见》（鲁财资环〔</w:t>
      </w:r>
      <w:r>
        <w:rPr>
          <w:rFonts w:ascii="仿宋_GB2312" w:hAnsi="Calibri" w:eastAsia="仿宋_GB2312" w:cs="Calibri"/>
          <w:kern w:val="2"/>
          <w:sz w:val="32"/>
          <w:szCs w:val="32"/>
        </w:rPr>
        <w:t>2022</w:t>
      </w:r>
      <w:r>
        <w:rPr>
          <w:rFonts w:hint="eastAsia" w:ascii="仿宋_GB2312" w:hAnsi="Calibri" w:eastAsia="仿宋_GB2312" w:cs="Calibri"/>
          <w:kern w:val="2"/>
          <w:sz w:val="32"/>
          <w:szCs w:val="32"/>
        </w:rPr>
        <w:t>〕</w:t>
      </w:r>
      <w:r>
        <w:rPr>
          <w:rFonts w:ascii="仿宋_GB2312" w:hAnsi="Calibri" w:eastAsia="仿宋_GB2312" w:cs="Calibri"/>
          <w:kern w:val="2"/>
          <w:sz w:val="32"/>
          <w:szCs w:val="32"/>
        </w:rPr>
        <w:t>29</w:t>
      </w:r>
      <w:r>
        <w:rPr>
          <w:rFonts w:hint="eastAsia" w:ascii="仿宋_GB2312" w:hAnsi="Calibri" w:eastAsia="仿宋_GB2312" w:cs="Calibri"/>
          <w:kern w:val="2"/>
          <w:sz w:val="32"/>
          <w:szCs w:val="32"/>
        </w:rPr>
        <w:t>号）要求，严格落实企业主体责任</w:t>
      </w:r>
      <w:r>
        <w:rPr>
          <w:rFonts w:ascii="仿宋_GB2312" w:hAnsi="Calibri" w:eastAsia="仿宋_GB2312" w:cs="Calibri"/>
          <w:kern w:val="2"/>
          <w:sz w:val="32"/>
          <w:szCs w:val="32"/>
        </w:rPr>
        <w:t>,</w:t>
      </w:r>
      <w:r>
        <w:rPr>
          <w:rFonts w:hint="eastAsia" w:ascii="仿宋_GB2312" w:hAnsi="Calibri" w:eastAsia="仿宋_GB2312" w:cs="Calibri"/>
          <w:kern w:val="2"/>
          <w:sz w:val="32"/>
          <w:szCs w:val="32"/>
        </w:rPr>
        <w:t>企业在申报项目时</w:t>
      </w:r>
      <w:r>
        <w:rPr>
          <w:rFonts w:ascii="仿宋_GB2312" w:hAnsi="Calibri" w:eastAsia="仿宋_GB2312" w:cs="Calibri"/>
          <w:kern w:val="2"/>
          <w:sz w:val="32"/>
          <w:szCs w:val="32"/>
        </w:rPr>
        <w:t>,</w:t>
      </w:r>
      <w:r>
        <w:rPr>
          <w:rFonts w:hint="eastAsia" w:ascii="仿宋_GB2312" w:hAnsi="Calibri" w:eastAsia="仿宋_GB2312" w:cs="Calibri"/>
          <w:kern w:val="2"/>
          <w:sz w:val="32"/>
          <w:szCs w:val="32"/>
        </w:rPr>
        <w:t>须对照“绿色门槛”制度进行自查</w:t>
      </w:r>
      <w:r>
        <w:rPr>
          <w:rFonts w:ascii="仿宋_GB2312" w:hAnsi="Calibri" w:eastAsia="仿宋_GB2312" w:cs="Calibri"/>
          <w:kern w:val="2"/>
          <w:sz w:val="32"/>
          <w:szCs w:val="32"/>
        </w:rPr>
        <w:t>,</w:t>
      </w:r>
      <w:r>
        <w:rPr>
          <w:rFonts w:hint="eastAsia" w:ascii="仿宋_GB2312" w:hAnsi="Calibri" w:eastAsia="仿宋_GB2312" w:cs="Calibri"/>
          <w:kern w:val="2"/>
          <w:sz w:val="32"/>
          <w:szCs w:val="32"/>
        </w:rPr>
        <w:t>并就是否符合制度要求做出书面承诺，填写《“绿色门槛”制度落实企业自查表》（附件1）</w:t>
      </w:r>
      <w:r>
        <w:rPr>
          <w:rFonts w:ascii="仿宋_GB2312" w:hAnsi="Calibri" w:eastAsia="仿宋_GB2312" w:cs="Calibri"/>
          <w:kern w:val="2"/>
          <w:sz w:val="32"/>
          <w:szCs w:val="32"/>
        </w:rPr>
        <w:t>;</w:t>
      </w:r>
      <w:r>
        <w:rPr>
          <w:rFonts w:hint="eastAsia" w:ascii="仿宋_GB2312" w:hAnsi="Calibri" w:eastAsia="仿宋_GB2312" w:cs="Calibri"/>
          <w:kern w:val="2"/>
          <w:sz w:val="32"/>
          <w:szCs w:val="32"/>
        </w:rPr>
        <w:t>区（市）科技主管部门需会商有关部门，对申报项目企业进行“绿色门槛”审查，审查通过的填写《“绿色门槛”制度审查意见表》（附件2）并盖章，予以推荐上报。</w:t>
      </w:r>
    </w:p>
    <w:p>
      <w:pPr>
        <w:widowControl w:val="0"/>
        <w:adjustRightInd/>
        <w:snapToGrid/>
        <w:spacing w:after="0" w:line="560" w:lineRule="exact"/>
        <w:ind w:firstLine="640" w:firstLineChars="200"/>
        <w:jc w:val="both"/>
        <w:outlineLvl w:val="0"/>
        <w:rPr>
          <w:rFonts w:ascii="黑体" w:hAnsi="Calibri" w:eastAsia="黑体" w:cs="Times New Roman"/>
          <w:color w:val="000000"/>
          <w:kern w:val="2"/>
          <w:sz w:val="32"/>
          <w:szCs w:val="32"/>
        </w:rPr>
      </w:pPr>
      <w:r>
        <w:rPr>
          <w:rFonts w:hint="eastAsia" w:ascii="黑体" w:hAnsi="Calibri" w:eastAsia="黑体" w:cs="黑体"/>
          <w:color w:val="000000"/>
          <w:kern w:val="2"/>
          <w:sz w:val="32"/>
          <w:szCs w:val="32"/>
        </w:rPr>
        <w:t>三、资金支持方式</w:t>
      </w:r>
    </w:p>
    <w:p>
      <w:pPr>
        <w:widowControl w:val="0"/>
        <w:adjustRightInd/>
        <w:snapToGrid/>
        <w:spacing w:after="0" w:line="560" w:lineRule="exact"/>
        <w:ind w:firstLine="646"/>
        <w:jc w:val="both"/>
        <w:outlineLvl w:val="1"/>
        <w:rPr>
          <w:rFonts w:ascii="仿宋_GB2312" w:hAnsi="楷体" w:eastAsia="仿宋_GB2312" w:cs="仿宋_GB2312"/>
          <w:kern w:val="2"/>
          <w:sz w:val="32"/>
          <w:szCs w:val="32"/>
        </w:rPr>
      </w:pPr>
      <w:r>
        <w:rPr>
          <w:rFonts w:hint="eastAsia" w:ascii="仿宋_GB2312" w:hAnsi="楷体" w:eastAsia="仿宋_GB2312" w:cs="楷体_GB2312"/>
          <w:kern w:val="2"/>
          <w:sz w:val="32"/>
          <w:szCs w:val="32"/>
        </w:rPr>
        <w:t>（一）</w:t>
      </w:r>
      <w:r>
        <w:rPr>
          <w:rFonts w:hint="eastAsia" w:ascii="仿宋_GB2312" w:hAnsi="楷体" w:eastAsia="仿宋_GB2312" w:cs="仿宋_GB2312"/>
          <w:kern w:val="2"/>
          <w:sz w:val="32"/>
          <w:szCs w:val="32"/>
        </w:rPr>
        <w:t>本批项目全部实行非定额资助方式，立项支持经费不超过指南中明确的支持强度金额，执行期一般为2年</w:t>
      </w:r>
      <w:r>
        <w:rPr>
          <w:rFonts w:hint="eastAsia" w:ascii="仿宋_GB2312" w:hAnsi="Calibri" w:eastAsia="仿宋_GB2312" w:cs="仿宋_GB2312"/>
          <w:kern w:val="2"/>
          <w:sz w:val="32"/>
          <w:szCs w:val="32"/>
        </w:rPr>
        <w:t>。其中，牵头单位为企业的，项目配套资金与申请市财政科技专项资金配比应不低于1:1。</w:t>
      </w:r>
    </w:p>
    <w:p>
      <w:pPr>
        <w:widowControl w:val="0"/>
        <w:adjustRightInd/>
        <w:snapToGrid/>
        <w:spacing w:after="0" w:line="560" w:lineRule="exact"/>
        <w:ind w:firstLine="646"/>
        <w:jc w:val="both"/>
        <w:outlineLvl w:val="1"/>
        <w:rPr>
          <w:rFonts w:ascii="仿宋_GB2312" w:hAnsi="楷体" w:eastAsia="仿宋_GB2312" w:cs="仿宋_GB2312"/>
          <w:kern w:val="2"/>
          <w:sz w:val="32"/>
          <w:szCs w:val="32"/>
        </w:rPr>
      </w:pPr>
      <w:r>
        <w:rPr>
          <w:rFonts w:hint="eastAsia" w:ascii="仿宋_GB2312" w:hAnsi="楷体" w:eastAsia="仿宋_GB2312" w:cs="楷体_GB2312"/>
          <w:kern w:val="2"/>
          <w:sz w:val="32"/>
          <w:szCs w:val="32"/>
        </w:rPr>
        <w:t>（二）</w:t>
      </w:r>
      <w:r>
        <w:rPr>
          <w:rFonts w:hint="eastAsia" w:ascii="仿宋_GB2312" w:hAnsi="楷体" w:eastAsia="仿宋_GB2312" w:cs="仿宋_GB2312"/>
          <w:kern w:val="2"/>
          <w:sz w:val="32"/>
          <w:szCs w:val="32"/>
        </w:rPr>
        <w:t>项目立项后50万元（含）以上项目原则上拨付支持资金的</w:t>
      </w:r>
      <w:r>
        <w:rPr>
          <w:rFonts w:ascii="仿宋_GB2312" w:hAnsi="楷体" w:eastAsia="仿宋_GB2312" w:cs="仿宋_GB2312"/>
          <w:kern w:val="2"/>
          <w:sz w:val="32"/>
          <w:szCs w:val="32"/>
        </w:rPr>
        <w:t>50%</w:t>
      </w:r>
      <w:r>
        <w:rPr>
          <w:rFonts w:hint="eastAsia" w:ascii="仿宋_GB2312" w:hAnsi="楷体" w:eastAsia="仿宋_GB2312" w:cs="仿宋_GB2312"/>
          <w:kern w:val="2"/>
          <w:sz w:val="32"/>
          <w:szCs w:val="32"/>
        </w:rPr>
        <w:t>，项目验收通过后或综合绩效评价通过后，拨付剩余资金。50万元以下项目立项后一次性拨付项目支持资金。</w:t>
      </w:r>
    </w:p>
    <w:p>
      <w:pPr>
        <w:widowControl w:val="0"/>
        <w:adjustRightInd/>
        <w:snapToGrid/>
        <w:spacing w:after="0" w:line="560" w:lineRule="exact"/>
        <w:ind w:firstLine="646"/>
        <w:jc w:val="both"/>
        <w:outlineLvl w:val="1"/>
        <w:rPr>
          <w:rFonts w:ascii="仿宋_GB2312" w:hAnsi="宋体" w:eastAsia="仿宋_GB2312" w:cs="宋体"/>
          <w:kern w:val="2"/>
          <w:sz w:val="32"/>
          <w:szCs w:val="32"/>
        </w:rPr>
      </w:pPr>
      <w:r>
        <w:rPr>
          <w:rFonts w:hint="eastAsia" w:ascii="仿宋_GB2312" w:hAnsi="Calibri" w:eastAsia="仿宋_GB2312" w:cs="Times New Roman"/>
          <w:kern w:val="2"/>
          <w:sz w:val="32"/>
          <w:szCs w:val="32"/>
        </w:rPr>
        <w:t>（三）</w:t>
      </w:r>
      <w:r>
        <w:rPr>
          <w:rFonts w:hint="eastAsia" w:ascii="仿宋_GB2312" w:hAnsi="宋体" w:eastAsia="仿宋_GB2312" w:cs="仿宋_GB2312"/>
          <w:kern w:val="2"/>
          <w:sz w:val="32"/>
          <w:szCs w:val="32"/>
        </w:rPr>
        <w:t>2025年项目和资金数量将根据年度市财政科技专项资金预算情况进行统筹安排。采取无偿资助（分期拨付）或里程碑节点考核结果等方式给予支持。</w:t>
      </w:r>
    </w:p>
    <w:p>
      <w:pPr>
        <w:widowControl w:val="0"/>
        <w:adjustRightInd/>
        <w:snapToGrid/>
        <w:spacing w:after="0" w:line="560" w:lineRule="exact"/>
        <w:ind w:firstLine="640" w:firstLineChars="200"/>
        <w:jc w:val="both"/>
        <w:outlineLvl w:val="0"/>
        <w:rPr>
          <w:rFonts w:ascii="黑体" w:hAnsi="黑体" w:eastAsia="黑体" w:cs="Times New Roman"/>
          <w:kern w:val="2"/>
          <w:sz w:val="32"/>
          <w:szCs w:val="32"/>
        </w:rPr>
      </w:pPr>
      <w:r>
        <w:rPr>
          <w:rFonts w:hint="eastAsia" w:ascii="黑体" w:hAnsi="黑体" w:eastAsia="黑体" w:cs="黑体"/>
          <w:kern w:val="2"/>
          <w:sz w:val="32"/>
          <w:szCs w:val="32"/>
        </w:rPr>
        <w:t>四、申报说明</w:t>
      </w:r>
    </w:p>
    <w:p>
      <w:pPr>
        <w:widowControl w:val="0"/>
        <w:adjustRightInd/>
        <w:snapToGrid/>
        <w:spacing w:after="0" w:line="560" w:lineRule="exact"/>
        <w:ind w:firstLine="640" w:firstLineChars="200"/>
        <w:jc w:val="both"/>
        <w:textAlignment w:val="baseline"/>
        <w:rPr>
          <w:rFonts w:ascii="楷体_GB2312" w:hAnsi="楷体" w:eastAsia="楷体_GB2312" w:cs="Times New Roman"/>
          <w:kern w:val="2"/>
          <w:sz w:val="32"/>
          <w:szCs w:val="32"/>
        </w:rPr>
      </w:pPr>
      <w:r>
        <w:rPr>
          <w:rFonts w:hint="eastAsia" w:ascii="楷体_GB2312" w:hAnsi="楷体" w:eastAsia="楷体_GB2312" w:cs="楷体_GB2312"/>
          <w:kern w:val="2"/>
          <w:sz w:val="32"/>
          <w:szCs w:val="32"/>
        </w:rPr>
        <w:t>（一）申报渠道</w:t>
      </w:r>
    </w:p>
    <w:p>
      <w:pPr>
        <w:widowControl w:val="0"/>
        <w:adjustRightInd/>
        <w:snapToGrid/>
        <w:spacing w:after="0" w:line="560" w:lineRule="exact"/>
        <w:ind w:firstLine="640" w:firstLineChars="200"/>
        <w:jc w:val="both"/>
        <w:rPr>
          <w:rFonts w:ascii="仿宋_GB2312" w:hAnsi="Calibri" w:eastAsia="仿宋_GB2312" w:cs="仿宋_GB2312"/>
          <w:kern w:val="2"/>
          <w:sz w:val="32"/>
          <w:szCs w:val="32"/>
        </w:rPr>
      </w:pPr>
      <w:r>
        <w:rPr>
          <w:rFonts w:hint="eastAsia" w:ascii="仿宋_GB2312" w:hAnsi="宋体" w:eastAsia="仿宋_GB2312" w:cs="仿宋_GB2312"/>
          <w:kern w:val="2"/>
          <w:sz w:val="32"/>
          <w:szCs w:val="32"/>
        </w:rPr>
        <w:t>申报单位使用</w:t>
      </w:r>
      <w:r>
        <w:rPr>
          <w:rFonts w:hint="eastAsia" w:ascii="仿宋_GB2312" w:hAnsi="仿宋_GB2312" w:eastAsia="仿宋_GB2312" w:cs="仿宋_GB2312"/>
          <w:sz w:val="32"/>
          <w:szCs w:val="32"/>
        </w:rPr>
        <w:t>“青岛市科学技术局门户网站”（http://qdstc.qingdao.gov.cn）</w:t>
      </w:r>
      <w:r>
        <w:rPr>
          <w:rFonts w:hint="eastAsia" w:ascii="仿宋_GB2312" w:hAnsi="宋体" w:eastAsia="仿宋_GB2312" w:cs="仿宋_GB2312"/>
          <w:kern w:val="2"/>
          <w:sz w:val="32"/>
          <w:szCs w:val="32"/>
        </w:rPr>
        <w:t>，已有账号的，输入账号密码登录；没有账号的，申请注册账号，经本单位项目主管单位审核通过后即可登录系统，进行网上申报（推荐使用谷歌、360浏览器、登录，请勿使用IE浏览器）。申请注册后，请及时联系主管单位进行账号审核。</w:t>
      </w:r>
      <w:r>
        <w:rPr>
          <w:rFonts w:hint="eastAsia" w:ascii="仿宋_GB2312" w:hAnsi="Calibri" w:eastAsia="仿宋_GB2312" w:cs="Calibri"/>
          <w:kern w:val="2"/>
          <w:sz w:val="32"/>
          <w:szCs w:val="32"/>
        </w:rPr>
        <w:t>登录后，在“科技计划项目”模块中，通过“申报指南”—在“关于组织申报2025年度青岛市科技惠民示范专项的通知”栏，点击“申报”，进入“新建”对话框，根据所申报项目选择正确的对应选项（例如，科技惠民示范专项</w:t>
      </w:r>
      <w:r>
        <w:rPr>
          <w:rFonts w:ascii="仿宋_GB2312" w:hAnsi="Calibri" w:eastAsia="仿宋_GB2312" w:cs="Calibri"/>
          <w:kern w:val="2"/>
          <w:sz w:val="32"/>
          <w:szCs w:val="32"/>
        </w:rPr>
        <w:t>—</w:t>
      </w:r>
      <w:r>
        <w:rPr>
          <w:rFonts w:hint="eastAsia" w:ascii="仿宋_GB2312" w:hAnsi="Calibri" w:eastAsia="仿宋_GB2312" w:cs="Calibri"/>
          <w:kern w:val="2"/>
          <w:sz w:val="32"/>
          <w:szCs w:val="32"/>
        </w:rPr>
        <w:t>生命健康领域—肺移植外科关键技术改进及肺缺血再灌注损伤防治策略研究与应用），网上填报并提交相关材料。网上提交的项目申报材料将作为后续形式审查、项目评审的依据。</w:t>
      </w:r>
      <w:r>
        <w:rPr>
          <w:rFonts w:hint="eastAsia" w:ascii="仿宋_GB2312" w:hAnsi="仿宋" w:eastAsia="仿宋_GB2312" w:cs="仿宋_GB2312"/>
          <w:kern w:val="2"/>
          <w:sz w:val="32"/>
          <w:szCs w:val="32"/>
        </w:rPr>
        <w:t>申报系统</w:t>
      </w:r>
      <w:r>
        <w:rPr>
          <w:rFonts w:hint="eastAsia" w:ascii="仿宋_GB2312" w:hAnsi="Calibri" w:eastAsia="仿宋_GB2312" w:cs="仿宋_GB2312"/>
          <w:kern w:val="2"/>
          <w:sz w:val="32"/>
          <w:szCs w:val="32"/>
        </w:rPr>
        <w:t>注册成功后，请妥善保存登录名和密码，以便随时进入系统查看项目申报及</w:t>
      </w:r>
      <w:r>
        <w:rPr>
          <w:rFonts w:hint="eastAsia" w:ascii="仿宋_GB2312" w:hAnsi="仿宋" w:eastAsia="仿宋_GB2312" w:cs="仿宋_GB2312"/>
          <w:kern w:val="2"/>
          <w:sz w:val="32"/>
          <w:szCs w:val="32"/>
        </w:rPr>
        <w:t>任务书签订、</w:t>
      </w:r>
      <w:r>
        <w:rPr>
          <w:rFonts w:hint="eastAsia" w:ascii="仿宋_GB2312" w:hAnsi="Calibri" w:eastAsia="仿宋_GB2312" w:cs="仿宋_GB2312"/>
          <w:kern w:val="2"/>
          <w:sz w:val="32"/>
          <w:szCs w:val="32"/>
        </w:rPr>
        <w:t>项目管理等情况。</w:t>
      </w:r>
    </w:p>
    <w:p>
      <w:pPr>
        <w:widowControl w:val="0"/>
        <w:adjustRightInd/>
        <w:snapToGrid/>
        <w:spacing w:after="0" w:line="560" w:lineRule="exact"/>
        <w:ind w:firstLine="640" w:firstLineChars="200"/>
        <w:jc w:val="both"/>
        <w:textAlignment w:val="baseline"/>
        <w:rPr>
          <w:rFonts w:ascii="楷体_GB2312" w:hAnsi="楷体" w:eastAsia="楷体_GB2312" w:cs="Times New Roman"/>
          <w:kern w:val="2"/>
          <w:sz w:val="32"/>
          <w:szCs w:val="32"/>
        </w:rPr>
      </w:pPr>
      <w:r>
        <w:rPr>
          <w:rFonts w:hint="eastAsia" w:ascii="楷体_GB2312" w:hAnsi="楷体" w:eastAsia="楷体_GB2312" w:cs="楷体_GB2312"/>
          <w:kern w:val="2"/>
          <w:sz w:val="32"/>
          <w:szCs w:val="32"/>
        </w:rPr>
        <w:t>（二）申报材料</w:t>
      </w:r>
    </w:p>
    <w:p>
      <w:pPr>
        <w:widowControl w:val="0"/>
        <w:adjustRightInd/>
        <w:snapToGrid/>
        <w:spacing w:after="0" w:line="560" w:lineRule="exact"/>
        <w:ind w:firstLine="640" w:firstLineChars="200"/>
        <w:jc w:val="both"/>
        <w:textAlignment w:val="baseline"/>
        <w:rPr>
          <w:rFonts w:ascii="仿宋_GB2312" w:hAnsi="宋体" w:eastAsia="仿宋_GB2312" w:cs="Times New Roman"/>
          <w:color w:val="000000"/>
          <w:kern w:val="2"/>
          <w:sz w:val="32"/>
          <w:szCs w:val="32"/>
        </w:rPr>
      </w:pPr>
      <w:r>
        <w:rPr>
          <w:rFonts w:hint="eastAsia" w:ascii="仿宋_GB2312" w:hAnsi="Calibri" w:eastAsia="仿宋_GB2312" w:cs="仿宋_GB2312"/>
          <w:kern w:val="2"/>
          <w:sz w:val="32"/>
          <w:szCs w:val="32"/>
        </w:rPr>
        <w:t>在线填写相关表单及附件材料（附件</w:t>
      </w:r>
      <w:r>
        <w:rPr>
          <w:rFonts w:hint="eastAsia" w:ascii="仿宋_GB2312" w:hAnsi="宋体" w:eastAsia="仿宋_GB2312" w:cs="仿宋_GB2312"/>
          <w:kern w:val="2"/>
          <w:sz w:val="32"/>
          <w:szCs w:val="32"/>
        </w:rPr>
        <w:t>仅用于证明申报书中陈述内容真实性的证明材料，供项目</w:t>
      </w:r>
      <w:r>
        <w:rPr>
          <w:rFonts w:hint="eastAsia" w:ascii="仿宋_GB2312" w:hAnsi="宋体" w:eastAsia="仿宋_GB2312" w:cs="仿宋_GB2312"/>
          <w:color w:val="000000"/>
          <w:kern w:val="2"/>
          <w:sz w:val="32"/>
          <w:szCs w:val="32"/>
        </w:rPr>
        <w:t>评审专家参考</w:t>
      </w:r>
      <w:r>
        <w:rPr>
          <w:rFonts w:hint="eastAsia" w:ascii="仿宋_GB2312" w:hAnsi="Calibri" w:eastAsia="仿宋_GB2312" w:cs="仿宋_GB2312"/>
          <w:kern w:val="2"/>
          <w:sz w:val="32"/>
          <w:szCs w:val="32"/>
        </w:rPr>
        <w:t>）</w:t>
      </w:r>
      <w:r>
        <w:rPr>
          <w:rFonts w:hint="eastAsia" w:ascii="仿宋_GB2312" w:hAnsi="宋体" w:eastAsia="仿宋_GB2312" w:cs="仿宋_GB2312"/>
          <w:color w:val="000000"/>
          <w:kern w:val="2"/>
          <w:sz w:val="32"/>
          <w:szCs w:val="32"/>
        </w:rPr>
        <w:t>。相关附件包括：</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符合申报总体要求的有关项目及申报单位情况的证明文件；</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单位法人营业执照或事业单位法人证书；</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项目预算表及预算说明；</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项目绩效目标表；</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5.</w:t>
      </w:r>
      <w:r>
        <w:rPr>
          <w:rFonts w:hint="eastAsia" w:ascii="仿宋_GB2312" w:hAnsi="仿宋" w:eastAsia="仿宋_GB2312" w:cs="Times New Roman"/>
          <w:sz w:val="32"/>
          <w:szCs w:val="32"/>
        </w:rPr>
        <w:t>企业单位提供上年度审计报告,事业单位提供当期经费收支表；</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申报单位项目伦理审查初核意见（加盖伦理委员会章）；</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7.</w:t>
      </w:r>
      <w:r>
        <w:rPr>
          <w:rFonts w:hint="eastAsia" w:ascii="仿宋_GB2312" w:hAnsi="仿宋" w:eastAsia="仿宋_GB2312" w:cs="Times New Roman"/>
          <w:sz w:val="32"/>
          <w:szCs w:val="32"/>
        </w:rPr>
        <w:t>项目依托单位及项目申报负责人诚信承诺书；</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ascii="仿宋_GB2312" w:hAnsi="仿宋" w:eastAsia="仿宋_GB2312" w:cs="Times New Roman"/>
          <w:sz w:val="32"/>
          <w:szCs w:val="32"/>
        </w:rPr>
        <w:t>8.</w:t>
      </w:r>
      <w:r>
        <w:rPr>
          <w:rFonts w:hint="eastAsia" w:ascii="仿宋_GB2312" w:hAnsi="仿宋" w:eastAsia="仿宋_GB2312" w:cs="Times New Roman"/>
          <w:sz w:val="32"/>
          <w:szCs w:val="32"/>
        </w:rPr>
        <w:t>项目依托单位和项目主管部门审查意见；</w:t>
      </w:r>
    </w:p>
    <w:p>
      <w:pPr>
        <w:widowControl w:val="0"/>
        <w:spacing w:after="0" w:line="560" w:lineRule="exact"/>
        <w:ind w:firstLine="640" w:firstLineChars="200"/>
        <w:jc w:val="both"/>
        <w:textAlignment w:val="baseline"/>
        <w:rPr>
          <w:rFonts w:ascii="仿宋_GB2312" w:hAnsi="Calibri" w:eastAsia="仿宋_GB2312" w:cs="Times New Roman"/>
          <w:sz w:val="32"/>
          <w:szCs w:val="32"/>
        </w:rPr>
      </w:pPr>
      <w:r>
        <w:rPr>
          <w:rFonts w:hint="eastAsia" w:ascii="仿宋_GB2312" w:hAnsi="仿宋" w:eastAsia="仿宋_GB2312" w:cs="Times New Roman"/>
          <w:sz w:val="32"/>
          <w:szCs w:val="32"/>
        </w:rPr>
        <w:t>9.</w:t>
      </w:r>
      <w:r>
        <w:rPr>
          <w:rFonts w:hint="eastAsia" w:ascii="仿宋_GB2312" w:hAnsi="Calibri" w:eastAsia="仿宋_GB2312" w:cs="Times New Roman"/>
          <w:sz w:val="32"/>
          <w:szCs w:val="32"/>
        </w:rPr>
        <w:t>“绿色门槛”制度落实企业自查表；</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hint="eastAsia" w:ascii="仿宋_GB2312" w:hAnsi="Calibri" w:eastAsia="仿宋_GB2312" w:cs="Times New Roman"/>
          <w:sz w:val="32"/>
          <w:szCs w:val="32"/>
        </w:rPr>
        <w:t>10.“绿色门槛”制度审查意见表；</w:t>
      </w:r>
    </w:p>
    <w:p>
      <w:pPr>
        <w:widowControl w:val="0"/>
        <w:spacing w:after="0" w:line="560" w:lineRule="exact"/>
        <w:ind w:firstLine="640" w:firstLineChars="200"/>
        <w:jc w:val="both"/>
        <w:textAlignment w:val="baseline"/>
        <w:rPr>
          <w:rFonts w:ascii="仿宋_GB2312" w:hAnsi="仿宋" w:eastAsia="仿宋_GB2312" w:cs="Times New Roman"/>
          <w:sz w:val="32"/>
          <w:szCs w:val="32"/>
        </w:rPr>
      </w:pPr>
      <w:r>
        <w:rPr>
          <w:rFonts w:hint="eastAsia" w:ascii="仿宋_GB2312" w:hAnsi="仿宋" w:eastAsia="仿宋_GB2312" w:cs="Times New Roman"/>
          <w:sz w:val="32"/>
          <w:szCs w:val="32"/>
        </w:rPr>
        <w:t>11</w:t>
      </w:r>
      <w:r>
        <w:rPr>
          <w:rFonts w:ascii="仿宋_GB2312" w:hAnsi="仿宋" w:eastAsia="仿宋_GB2312" w:cs="Times New Roman"/>
          <w:sz w:val="32"/>
          <w:szCs w:val="32"/>
        </w:rPr>
        <w:t>.</w:t>
      </w:r>
      <w:r>
        <w:rPr>
          <w:rFonts w:hint="eastAsia" w:ascii="仿宋_GB2312" w:hAnsi="Calibri" w:eastAsia="仿宋_GB2312" w:cs="Times New Roman"/>
          <w:sz w:val="32"/>
          <w:szCs w:val="32"/>
        </w:rPr>
        <w:t xml:space="preserve"> 知识产权证（包括专利和软件著作权）、查新报告、检测报告等</w:t>
      </w:r>
      <w:r>
        <w:rPr>
          <w:rFonts w:hint="eastAsia" w:ascii="仿宋_GB2312" w:hAnsi="仿宋" w:eastAsia="仿宋_GB2312" w:cs="Times New Roman"/>
          <w:sz w:val="32"/>
          <w:szCs w:val="32"/>
        </w:rPr>
        <w:t>其他相关证明材料。</w:t>
      </w:r>
    </w:p>
    <w:p>
      <w:pPr>
        <w:widowControl w:val="0"/>
        <w:adjustRightInd/>
        <w:snapToGrid/>
        <w:spacing w:after="0" w:line="560" w:lineRule="exact"/>
        <w:ind w:firstLine="640" w:firstLineChars="200"/>
        <w:jc w:val="both"/>
        <w:textAlignment w:val="baseline"/>
        <w:rPr>
          <w:rFonts w:ascii="仿宋_GB2312" w:hAnsi="Calibri" w:eastAsia="仿宋_GB2312" w:cs="Times New Roman"/>
          <w:kern w:val="2"/>
          <w:sz w:val="32"/>
          <w:szCs w:val="32"/>
        </w:rPr>
      </w:pPr>
      <w:r>
        <w:rPr>
          <w:rFonts w:hint="eastAsia" w:ascii="仿宋_GB2312" w:hAnsi="仿宋" w:eastAsia="仿宋_GB2312" w:cs="仿宋_GB2312"/>
          <w:kern w:val="2"/>
          <w:sz w:val="32"/>
          <w:szCs w:val="32"/>
        </w:rPr>
        <w:t>上述材料为电子版，涉及各类证照及证明材料请扫描或拍照原件上传系统。</w:t>
      </w:r>
    </w:p>
    <w:p>
      <w:pPr>
        <w:widowControl w:val="0"/>
        <w:adjustRightInd/>
        <w:snapToGrid/>
        <w:spacing w:after="0" w:line="560" w:lineRule="exact"/>
        <w:ind w:firstLine="640" w:firstLineChars="200"/>
        <w:jc w:val="both"/>
        <w:textAlignment w:val="baseline"/>
        <w:rPr>
          <w:rFonts w:ascii="楷体_GB2312" w:hAnsi="楷体" w:eastAsia="楷体_GB2312" w:cs="Times New Roman"/>
          <w:kern w:val="2"/>
          <w:sz w:val="32"/>
          <w:szCs w:val="32"/>
        </w:rPr>
      </w:pPr>
      <w:r>
        <w:rPr>
          <w:rFonts w:hint="eastAsia" w:ascii="楷体_GB2312" w:hAnsi="楷体" w:eastAsia="楷体_GB2312" w:cs="楷体_GB2312"/>
          <w:kern w:val="2"/>
          <w:sz w:val="32"/>
          <w:szCs w:val="32"/>
        </w:rPr>
        <w:t>（三）项目受理时间</w:t>
      </w:r>
    </w:p>
    <w:p>
      <w:pPr>
        <w:widowControl w:val="0"/>
        <w:adjustRightInd/>
        <w:snapToGrid/>
        <w:spacing w:after="0" w:line="560" w:lineRule="exact"/>
        <w:ind w:firstLine="640" w:firstLineChars="200"/>
        <w:jc w:val="both"/>
        <w:rPr>
          <w:rFonts w:ascii="仿宋_GB2312" w:hAnsi="宋体" w:eastAsia="仿宋_GB2312" w:cs="宋体"/>
          <w:kern w:val="2"/>
          <w:sz w:val="32"/>
          <w:szCs w:val="32"/>
        </w:rPr>
      </w:pPr>
      <w:r>
        <w:rPr>
          <w:rFonts w:hint="eastAsia" w:ascii="仿宋_GB2312" w:hAnsi="宋体" w:eastAsia="仿宋_GB2312" w:cs="宋体"/>
          <w:kern w:val="2"/>
          <w:sz w:val="32"/>
          <w:szCs w:val="32"/>
        </w:rPr>
        <w:t>项目申报单位须于系统申报开放时间</w:t>
      </w:r>
      <w:r>
        <w:rPr>
          <w:rFonts w:hint="eastAsia" w:ascii="仿宋_GB2312" w:hAnsi="宋体" w:eastAsia="仿宋_GB2312" w:cs="宋体"/>
          <w:b/>
          <w:kern w:val="2"/>
          <w:sz w:val="32"/>
          <w:szCs w:val="32"/>
        </w:rPr>
        <w:t>（</w:t>
      </w:r>
      <w:r>
        <w:rPr>
          <w:rFonts w:ascii="仿宋_GB2312" w:hAnsi="宋体" w:eastAsia="仿宋_GB2312" w:cs="宋体"/>
          <w:b/>
          <w:kern w:val="2"/>
          <w:sz w:val="32"/>
          <w:szCs w:val="32"/>
        </w:rPr>
        <w:t>202</w:t>
      </w:r>
      <w:r>
        <w:rPr>
          <w:rFonts w:hint="eastAsia" w:ascii="仿宋_GB2312" w:hAnsi="宋体" w:eastAsia="仿宋_GB2312" w:cs="宋体"/>
          <w:b/>
          <w:kern w:val="2"/>
          <w:sz w:val="32"/>
          <w:szCs w:val="32"/>
        </w:rPr>
        <w:t>4年9月11日12时至</w:t>
      </w:r>
      <w:r>
        <w:rPr>
          <w:rFonts w:ascii="仿宋_GB2312" w:hAnsi="宋体" w:eastAsia="仿宋_GB2312" w:cs="宋体"/>
          <w:b/>
          <w:kern w:val="2"/>
          <w:sz w:val="32"/>
          <w:szCs w:val="32"/>
        </w:rPr>
        <w:t>202</w:t>
      </w:r>
      <w:r>
        <w:rPr>
          <w:rFonts w:hint="eastAsia" w:ascii="仿宋_GB2312" w:hAnsi="宋体" w:eastAsia="仿宋_GB2312" w:cs="宋体"/>
          <w:b/>
          <w:kern w:val="2"/>
          <w:sz w:val="32"/>
          <w:szCs w:val="32"/>
        </w:rPr>
        <w:t>4年9月29日</w:t>
      </w:r>
      <w:r>
        <w:rPr>
          <w:rFonts w:ascii="仿宋_GB2312" w:hAnsi="宋体" w:eastAsia="仿宋_GB2312" w:cs="宋体"/>
          <w:b/>
          <w:kern w:val="2"/>
          <w:sz w:val="32"/>
          <w:szCs w:val="32"/>
        </w:rPr>
        <w:t>12</w:t>
      </w:r>
      <w:r>
        <w:rPr>
          <w:rFonts w:hint="eastAsia" w:ascii="仿宋_GB2312" w:hAnsi="宋体" w:eastAsia="仿宋_GB2312" w:cs="宋体"/>
          <w:b/>
          <w:kern w:val="2"/>
          <w:sz w:val="32"/>
          <w:szCs w:val="32"/>
        </w:rPr>
        <w:t>时）</w:t>
      </w:r>
      <w:r>
        <w:rPr>
          <w:rFonts w:hint="eastAsia" w:ascii="仿宋_GB2312" w:hAnsi="宋体" w:eastAsia="仿宋_GB2312" w:cs="宋体"/>
          <w:kern w:val="2"/>
          <w:sz w:val="32"/>
          <w:szCs w:val="32"/>
        </w:rPr>
        <w:t>内完成在线申报提交。单位主管部门应于</w:t>
      </w:r>
      <w:r>
        <w:rPr>
          <w:rFonts w:ascii="仿宋_GB2312" w:hAnsi="宋体" w:eastAsia="仿宋_GB2312" w:cs="宋体"/>
          <w:b/>
          <w:kern w:val="2"/>
          <w:sz w:val="32"/>
          <w:szCs w:val="32"/>
        </w:rPr>
        <w:t>202</w:t>
      </w:r>
      <w:r>
        <w:rPr>
          <w:rFonts w:hint="eastAsia" w:ascii="仿宋_GB2312" w:hAnsi="宋体" w:eastAsia="仿宋_GB2312" w:cs="宋体"/>
          <w:b/>
          <w:kern w:val="2"/>
          <w:sz w:val="32"/>
          <w:szCs w:val="32"/>
        </w:rPr>
        <w:t>4年9月30日</w:t>
      </w:r>
      <w:r>
        <w:rPr>
          <w:rFonts w:ascii="仿宋_GB2312" w:hAnsi="宋体" w:eastAsia="仿宋_GB2312" w:cs="宋体"/>
          <w:b/>
          <w:kern w:val="2"/>
          <w:sz w:val="32"/>
          <w:szCs w:val="32"/>
        </w:rPr>
        <w:t>17</w:t>
      </w:r>
      <w:r>
        <w:rPr>
          <w:rFonts w:hint="eastAsia" w:ascii="仿宋_GB2312" w:hAnsi="宋体" w:eastAsia="仿宋_GB2312" w:cs="宋体"/>
          <w:b/>
          <w:kern w:val="2"/>
          <w:sz w:val="32"/>
          <w:szCs w:val="32"/>
        </w:rPr>
        <w:t>时</w:t>
      </w:r>
      <w:r>
        <w:rPr>
          <w:rFonts w:hint="eastAsia" w:ascii="仿宋_GB2312" w:hAnsi="宋体" w:eastAsia="仿宋_GB2312" w:cs="宋体"/>
          <w:kern w:val="2"/>
          <w:sz w:val="32"/>
          <w:szCs w:val="32"/>
        </w:rPr>
        <w:t>前完成项目在线审核，</w:t>
      </w:r>
      <w:r>
        <w:rPr>
          <w:rFonts w:hint="eastAsia" w:ascii="仿宋_GB2312" w:hAnsi="宋体" w:eastAsia="仿宋_GB2312" w:cs="仿宋_GB2312"/>
          <w:color w:val="000000"/>
          <w:kern w:val="2"/>
          <w:sz w:val="32"/>
          <w:szCs w:val="32"/>
        </w:rPr>
        <w:t>并添加意见后提交</w:t>
      </w:r>
      <w:r>
        <w:rPr>
          <w:rFonts w:hint="eastAsia" w:ascii="仿宋_GB2312" w:hAnsi="宋体" w:eastAsia="仿宋_GB2312" w:cs="宋体"/>
          <w:kern w:val="2"/>
          <w:sz w:val="32"/>
          <w:szCs w:val="32"/>
        </w:rPr>
        <w:t>。申报材料及审核推荐按时提交的，方可视为完成申报；其余情况均视为未完成申报。</w:t>
      </w:r>
    </w:p>
    <w:p>
      <w:pPr>
        <w:widowControl w:val="0"/>
        <w:adjustRightInd/>
        <w:snapToGrid/>
        <w:spacing w:after="0" w:line="560" w:lineRule="exact"/>
        <w:ind w:firstLine="640" w:firstLineChars="200"/>
        <w:jc w:val="both"/>
        <w:outlineLvl w:val="0"/>
        <w:rPr>
          <w:rFonts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rPr>
        <w:t>（四）业务咨询及监督</w:t>
      </w:r>
    </w:p>
    <w:p>
      <w:pPr>
        <w:widowControl w:val="0"/>
        <w:adjustRightInd/>
        <w:snapToGrid/>
        <w:spacing w:after="0" w:line="560" w:lineRule="exact"/>
        <w:ind w:firstLine="640" w:firstLineChars="200"/>
        <w:jc w:val="both"/>
        <w:outlineLvl w:val="0"/>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1.</w:t>
      </w:r>
      <w:r>
        <w:rPr>
          <w:rFonts w:hint="eastAsia" w:ascii="仿宋_GB2312" w:hAnsi="Times New Roman" w:eastAsia="仿宋_GB2312" w:cs="Times New Roman"/>
          <w:kern w:val="2"/>
          <w:sz w:val="32"/>
          <w:szCs w:val="32"/>
        </w:rPr>
        <w:t>业务咨询</w:t>
      </w:r>
    </w:p>
    <w:p>
      <w:pPr>
        <w:widowControl w:val="0"/>
        <w:adjustRightInd/>
        <w:snapToGrid/>
        <w:spacing w:after="0" w:line="560" w:lineRule="exact"/>
        <w:ind w:firstLine="636"/>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市科技局农业与社会发展科技处联系电话：</w:t>
      </w:r>
      <w:r>
        <w:rPr>
          <w:rFonts w:ascii="仿宋_GB2312" w:hAnsi="Times New Roman" w:eastAsia="仿宋_GB2312" w:cs="Times New Roman"/>
          <w:kern w:val="2"/>
          <w:sz w:val="32"/>
          <w:szCs w:val="32"/>
        </w:rPr>
        <w:t>85911341</w:t>
      </w:r>
    </w:p>
    <w:p>
      <w:pPr>
        <w:widowControl w:val="0"/>
        <w:adjustRightInd/>
        <w:snapToGrid/>
        <w:spacing w:after="0" w:line="560" w:lineRule="exact"/>
        <w:ind w:firstLine="640" w:firstLineChars="200"/>
        <w:jc w:val="both"/>
        <w:rPr>
          <w:rFonts w:ascii="仿宋_GB2312" w:hAnsi="Calibri" w:eastAsia="仿宋_GB2312" w:cs="Calibri"/>
          <w:kern w:val="2"/>
          <w:sz w:val="32"/>
          <w:szCs w:val="32"/>
        </w:rPr>
      </w:pPr>
      <w:r>
        <w:rPr>
          <w:rFonts w:hint="eastAsia" w:ascii="仿宋_GB2312" w:hAnsi="Times New Roman" w:eastAsia="仿宋_GB2312" w:cs="Times New Roman"/>
          <w:kern w:val="2"/>
          <w:sz w:val="32"/>
          <w:szCs w:val="32"/>
        </w:rPr>
        <w:t>青岛市科技服务中心联系电话：</w:t>
      </w:r>
      <w:r>
        <w:rPr>
          <w:rFonts w:hint="eastAsia" w:ascii="仿宋_GB2312" w:hAnsi="Calibri" w:eastAsia="仿宋_GB2312" w:cs="Calibri"/>
          <w:kern w:val="2"/>
          <w:sz w:val="32"/>
          <w:szCs w:val="32"/>
        </w:rPr>
        <w:t>88728768/88728786</w:t>
      </w:r>
    </w:p>
    <w:p>
      <w:pPr>
        <w:widowControl w:val="0"/>
        <w:adjustRightInd/>
        <w:snapToGrid/>
        <w:spacing w:after="0" w:line="560" w:lineRule="exact"/>
        <w:ind w:firstLine="640" w:firstLineChars="200"/>
        <w:jc w:val="both"/>
        <w:rPr>
          <w:rFonts w:ascii="仿宋_GB2312" w:hAnsi="Times New Roman" w:eastAsia="仿宋_GB2312" w:cs="Times New Roman"/>
          <w:kern w:val="2"/>
          <w:sz w:val="32"/>
          <w:szCs w:val="32"/>
        </w:rPr>
      </w:pPr>
      <w:r>
        <w:rPr>
          <w:rFonts w:ascii="仿宋_GB2312" w:hAnsi="宋体" w:eastAsia="仿宋_GB2312" w:cs="宋体"/>
          <w:kern w:val="2"/>
          <w:sz w:val="32"/>
          <w:szCs w:val="32"/>
        </w:rPr>
        <w:t>2.</w:t>
      </w:r>
      <w:r>
        <w:rPr>
          <w:rFonts w:hint="eastAsia" w:ascii="仿宋_GB2312" w:hAnsi="宋体" w:eastAsia="仿宋_GB2312" w:cs="宋体"/>
          <w:kern w:val="2"/>
          <w:sz w:val="32"/>
          <w:szCs w:val="32"/>
        </w:rPr>
        <w:t>监督电话</w:t>
      </w:r>
    </w:p>
    <w:p>
      <w:pPr>
        <w:widowControl w:val="0"/>
        <w:adjustRightInd/>
        <w:snapToGrid/>
        <w:spacing w:after="0" w:line="560" w:lineRule="exact"/>
        <w:ind w:firstLine="63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市科技局科技监督与诚信建设处联系电话：</w:t>
      </w:r>
      <w:r>
        <w:rPr>
          <w:rFonts w:ascii="仿宋_GB2312" w:hAnsi="Times New Roman" w:eastAsia="仿宋_GB2312" w:cs="Times New Roman"/>
          <w:kern w:val="2"/>
          <w:sz w:val="32"/>
          <w:szCs w:val="32"/>
        </w:rPr>
        <w:t>85911316</w:t>
      </w:r>
    </w:p>
    <w:p>
      <w:pPr>
        <w:widowControl w:val="0"/>
        <w:adjustRightInd/>
        <w:snapToGrid/>
        <w:spacing w:after="0" w:line="560" w:lineRule="exact"/>
        <w:ind w:firstLine="630"/>
        <w:jc w:val="both"/>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rPr>
        <w:t>3.</w:t>
      </w:r>
      <w:r>
        <w:rPr>
          <w:rFonts w:hint="eastAsia" w:ascii="仿宋_GB2312" w:hAnsi="Times New Roman" w:eastAsia="仿宋_GB2312" w:cs="Times New Roman"/>
          <w:kern w:val="2"/>
          <w:sz w:val="32"/>
          <w:szCs w:val="32"/>
        </w:rPr>
        <w:t>技术咨询</w:t>
      </w:r>
    </w:p>
    <w:p>
      <w:pPr>
        <w:widowControl w:val="0"/>
        <w:adjustRightInd/>
        <w:snapToGrid/>
        <w:spacing w:after="0" w:line="560" w:lineRule="exact"/>
        <w:ind w:firstLine="640" w:firstLineChars="200"/>
        <w:jc w:val="both"/>
        <w:outlineLvl w:val="0"/>
        <w:rPr>
          <w:rFonts w:ascii="仿宋_GB2312" w:hAnsi="Calibri" w:eastAsia="仿宋_GB2312" w:cs="Calibri"/>
          <w:kern w:val="2"/>
          <w:sz w:val="32"/>
          <w:szCs w:val="32"/>
        </w:rPr>
      </w:pPr>
      <w:r>
        <w:rPr>
          <w:rFonts w:hint="eastAsia" w:ascii="仿宋_GB2312" w:hAnsi="Calibri" w:eastAsia="仿宋_GB2312" w:cs="Calibri"/>
          <w:kern w:val="2"/>
          <w:sz w:val="32"/>
          <w:szCs w:val="32"/>
        </w:rPr>
        <w:t>联系电话：0532-85912992</w:t>
      </w:r>
    </w:p>
    <w:p>
      <w:pPr>
        <w:widowControl w:val="0"/>
        <w:adjustRightInd/>
        <w:snapToGrid/>
        <w:spacing w:after="0" w:line="560" w:lineRule="exact"/>
        <w:ind w:firstLine="640" w:firstLineChars="200"/>
        <w:jc w:val="both"/>
        <w:outlineLvl w:val="0"/>
        <w:rPr>
          <w:rFonts w:ascii="仿宋_GB2312" w:hAnsi="Calibri" w:eastAsia="仿宋_GB2312" w:cs="Calibri"/>
          <w:kern w:val="2"/>
          <w:sz w:val="32"/>
          <w:szCs w:val="32"/>
        </w:rPr>
      </w:pPr>
    </w:p>
    <w:p>
      <w:pPr>
        <w:widowControl w:val="0"/>
        <w:adjustRightInd/>
        <w:snapToGrid/>
        <w:spacing w:after="0" w:line="560" w:lineRule="exact"/>
        <w:ind w:firstLine="640" w:firstLineChars="200"/>
        <w:jc w:val="both"/>
        <w:outlineLvl w:val="0"/>
        <w:rPr>
          <w:rFonts w:ascii="仿宋_GB2312" w:hAnsi="Calibri" w:eastAsia="仿宋_GB2312" w:cs="Calibri"/>
          <w:kern w:val="2"/>
          <w:sz w:val="32"/>
          <w:szCs w:val="32"/>
        </w:rPr>
      </w:pPr>
    </w:p>
    <w:p>
      <w:pPr>
        <w:widowControl w:val="0"/>
        <w:adjustRightInd/>
        <w:snapToGrid/>
        <w:spacing w:after="0" w:line="560" w:lineRule="exact"/>
        <w:ind w:firstLine="1280" w:firstLineChars="400"/>
        <w:jc w:val="center"/>
        <w:rPr>
          <w:rFonts w:ascii="仿宋_GB2312" w:hAnsi="华文仿宋" w:eastAsia="仿宋_GB2312" w:cs="Calibri"/>
          <w:kern w:val="2"/>
          <w:sz w:val="32"/>
          <w:szCs w:val="32"/>
        </w:rPr>
      </w:pPr>
      <w:r>
        <w:rPr>
          <w:rFonts w:hint="eastAsia" w:ascii="仿宋_GB2312" w:hAnsi="华文仿宋" w:eastAsia="仿宋_GB2312" w:cs="Calibri"/>
          <w:kern w:val="2"/>
          <w:sz w:val="32"/>
          <w:szCs w:val="32"/>
          <w:lang w:val="en-US" w:eastAsia="zh-CN"/>
        </w:rPr>
        <w:t xml:space="preserve">         </w:t>
      </w:r>
      <w:r>
        <w:rPr>
          <w:rFonts w:hint="eastAsia" w:ascii="仿宋_GB2312" w:hAnsi="华文仿宋" w:eastAsia="仿宋_GB2312" w:cs="Calibri"/>
          <w:kern w:val="2"/>
          <w:sz w:val="32"/>
          <w:szCs w:val="32"/>
        </w:rPr>
        <w:t>青岛市科学技术局</w:t>
      </w:r>
    </w:p>
    <w:p>
      <w:pPr>
        <w:spacing w:line="560" w:lineRule="exact"/>
        <w:jc w:val="center"/>
        <w:rPr>
          <w:rFonts w:ascii="仿宋_GB2312" w:hAnsi="华文仿宋" w:eastAsia="仿宋_GB2312" w:cs="Calibri"/>
          <w:kern w:val="2"/>
          <w:sz w:val="32"/>
          <w:szCs w:val="32"/>
        </w:rPr>
      </w:pPr>
      <w:r>
        <w:rPr>
          <w:rFonts w:hint="eastAsia" w:ascii="仿宋_GB2312" w:hAnsi="华文仿宋" w:eastAsia="仿宋_GB2312" w:cs="Calibri"/>
          <w:kern w:val="2"/>
          <w:sz w:val="32"/>
          <w:szCs w:val="32"/>
          <w:lang w:val="en-US" w:eastAsia="zh-CN"/>
        </w:rPr>
        <w:t xml:space="preserve">                         </w:t>
      </w:r>
      <w:r>
        <w:rPr>
          <w:rFonts w:ascii="仿宋_GB2312" w:hAnsi="华文仿宋" w:eastAsia="仿宋_GB2312" w:cs="Calibri"/>
          <w:kern w:val="2"/>
          <w:sz w:val="32"/>
          <w:szCs w:val="32"/>
        </w:rPr>
        <w:t>202</w:t>
      </w:r>
      <w:r>
        <w:rPr>
          <w:rFonts w:hint="eastAsia" w:ascii="仿宋_GB2312" w:hAnsi="华文仿宋" w:eastAsia="仿宋_GB2312" w:cs="Calibri"/>
          <w:kern w:val="2"/>
          <w:sz w:val="32"/>
          <w:szCs w:val="32"/>
        </w:rPr>
        <w:t>4年9月</w:t>
      </w:r>
      <w:r>
        <w:rPr>
          <w:rFonts w:hint="eastAsia" w:ascii="仿宋_GB2312" w:hAnsi="华文仿宋" w:eastAsia="仿宋_GB2312" w:cs="Calibri"/>
          <w:kern w:val="2"/>
          <w:sz w:val="32"/>
          <w:szCs w:val="32"/>
          <w:lang w:val="en-US" w:eastAsia="zh-CN"/>
        </w:rPr>
        <w:t>11</w:t>
      </w:r>
      <w:r>
        <w:rPr>
          <w:rFonts w:hint="eastAsia" w:ascii="仿宋_GB2312" w:hAnsi="华文仿宋" w:eastAsia="仿宋_GB2312" w:cs="Calibri"/>
          <w:kern w:val="2"/>
          <w:sz w:val="32"/>
          <w:szCs w:val="32"/>
        </w:rPr>
        <w:t>日</w:t>
      </w:r>
    </w:p>
    <w:p>
      <w:pPr>
        <w:widowControl w:val="0"/>
        <w:adjustRightInd/>
        <w:snapToGrid/>
        <w:spacing w:after="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(此件主动公开)</w:t>
      </w:r>
    </w:p>
    <w:p>
      <w:pPr>
        <w:pStyle w:val="2"/>
        <w:rPr>
          <w:rFonts w:ascii="仿宋_GB2312" w:hAnsi="Times New Roman" w:eastAsia="仿宋_GB2312" w:cs="Times New Roman"/>
          <w:kern w:val="2"/>
          <w:sz w:val="32"/>
          <w:szCs w:val="32"/>
        </w:rPr>
      </w:pPr>
    </w:p>
    <w:p/>
    <w:p>
      <w:pPr>
        <w:widowControl w:val="0"/>
        <w:pBdr>
          <w:top w:val="single" w:color="auto" w:sz="12" w:space="1"/>
          <w:bottom w:val="single" w:color="auto" w:sz="12" w:space="1"/>
        </w:pBdr>
        <w:spacing w:line="580" w:lineRule="exact"/>
        <w:ind w:firstLine="280" w:firstLineChars="100"/>
      </w:pPr>
      <w:r>
        <w:rPr>
          <w:rFonts w:hint="eastAsia" w:ascii="仿宋_GB2312" w:eastAsia="仿宋_GB2312" w:cs="仿宋_GB2312"/>
          <w:sz w:val="28"/>
          <w:szCs w:val="28"/>
        </w:rPr>
        <w:t>青岛市科学技术局办公室　</w:t>
      </w:r>
      <w:r>
        <w:rPr>
          <w:rFonts w:ascii="仿宋_GB2312" w:eastAsia="仿宋_GB2312" w:cs="仿宋_GB2312"/>
          <w:sz w:val="28"/>
          <w:szCs w:val="28"/>
        </w:rPr>
        <w:t xml:space="preserve">                202</w:t>
      </w:r>
      <w:r>
        <w:rPr>
          <w:rFonts w:hint="eastAsia" w:ascii="仿宋_GB2312" w:eastAsia="仿宋_GB2312" w:cs="仿宋_GB2312"/>
          <w:sz w:val="28"/>
          <w:szCs w:val="28"/>
        </w:rPr>
        <w:t>4年9月</w:t>
      </w:r>
      <w:r>
        <w:rPr>
          <w:rFonts w:hint="eastAsia" w:ascii="仿宋_GB2312" w:eastAsia="仿宋_GB2312" w:cs="仿宋_GB2312"/>
          <w:sz w:val="28"/>
          <w:szCs w:val="28"/>
          <w:lang w:val="en-US" w:eastAsia="zh-CN"/>
        </w:rPr>
        <w:t>11</w:t>
      </w:r>
      <w:bookmarkStart w:id="5" w:name="_GoBack"/>
      <w:bookmarkEnd w:id="5"/>
      <w:r>
        <w:rPr>
          <w:rFonts w:hint="eastAsia" w:ascii="仿宋_GB2312" w:eastAsia="仿宋_GB2312" w:cs="仿宋_GB2312"/>
          <w:sz w:val="28"/>
          <w:szCs w:val="28"/>
        </w:rPr>
        <w:t>日印发</w:t>
      </w:r>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FangSong_GB2312">
    <w:altName w:val="仿宋_GB2312"/>
    <w:panose1 w:val="00000000000000000000"/>
    <w:charset w:val="00"/>
    <w:family w:val="roman"/>
    <w:pitch w:val="default"/>
    <w:sig w:usb0="00000000" w:usb1="00000000" w:usb2="00000000" w:usb3="00000000" w:csb0="00000000" w:csb1="00000000"/>
  </w:font>
  <w:font w:name="KaiTi_GB2312">
    <w:altName w:val="楷体"/>
    <w:panose1 w:val="00000000000000000000"/>
    <w:charset w:val="00"/>
    <w:family w:val="roman"/>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pPr>
                  <w:pStyle w:val="4"/>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ascii="楷体_GB2312" w:hAnsi="楷体_GB2312" w:eastAsia="楷体_GB2312" w:cs="楷体_GB2312"/>
                    <w:sz w:val="28"/>
                    <w:szCs w:val="28"/>
                  </w:rPr>
                  <w:t>- 68 -</w:t>
                </w:r>
                <w:r>
                  <w:rPr>
                    <w:rFonts w:hint="eastAsia" w:ascii="楷体_GB2312" w:hAnsi="楷体_GB2312" w:eastAsia="楷体_GB2312" w:cs="楷体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0MzVhMTE1NjlmNTQwYjA2ZTdmMDY2NjYwMTY1MTgifQ=="/>
  </w:docVars>
  <w:rsids>
    <w:rsidRoot w:val="02C903D7"/>
    <w:rsid w:val="001B7E02"/>
    <w:rsid w:val="00367BE8"/>
    <w:rsid w:val="003C1EB0"/>
    <w:rsid w:val="004977B7"/>
    <w:rsid w:val="00587733"/>
    <w:rsid w:val="005B3375"/>
    <w:rsid w:val="00622D1C"/>
    <w:rsid w:val="006F01BD"/>
    <w:rsid w:val="007F0DF2"/>
    <w:rsid w:val="00915178"/>
    <w:rsid w:val="02C903D7"/>
    <w:rsid w:val="0E2A646C"/>
    <w:rsid w:val="34955110"/>
    <w:rsid w:val="3887297F"/>
    <w:rsid w:val="40A86E03"/>
    <w:rsid w:val="40E61D00"/>
    <w:rsid w:val="46D65277"/>
    <w:rsid w:val="634313DC"/>
    <w:rsid w:val="BF532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paragraph" w:styleId="2">
    <w:name w:val="heading 3"/>
    <w:basedOn w:val="1"/>
    <w:next w:val="1"/>
    <w:qFormat/>
    <w:uiPriority w:val="99"/>
    <w:pPr>
      <w:keepNext/>
      <w:keepLines/>
      <w:spacing w:before="260" w:after="260" w:line="416" w:lineRule="atLeast"/>
      <w:outlineLvl w:val="2"/>
    </w:pPr>
    <w:rPr>
      <w:b/>
      <w:bC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pPr>
      <w:spacing w:after="0"/>
    </w:pPr>
    <w:rPr>
      <w:sz w:val="18"/>
      <w:szCs w:val="18"/>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character" w:styleId="8">
    <w:name w:val="page number"/>
    <w:basedOn w:val="7"/>
    <w:qFormat/>
    <w:uiPriority w:val="99"/>
    <w:rPr>
      <w:rFonts w:cs="Times New Roman"/>
    </w:rPr>
  </w:style>
  <w:style w:type="character" w:customStyle="1" w:styleId="9">
    <w:name w:val="fontstyle01"/>
    <w:basedOn w:val="7"/>
    <w:qFormat/>
    <w:uiPriority w:val="99"/>
    <w:rPr>
      <w:rFonts w:ascii="仿宋" w:hAnsi="仿宋" w:eastAsia="仿宋" w:cs="Times New Roman"/>
      <w:color w:val="000000"/>
      <w:sz w:val="32"/>
      <w:szCs w:val="32"/>
    </w:rPr>
  </w:style>
  <w:style w:type="character" w:customStyle="1" w:styleId="10">
    <w:name w:val="页眉 Char"/>
    <w:basedOn w:val="7"/>
    <w:link w:val="5"/>
    <w:qFormat/>
    <w:uiPriority w:val="0"/>
    <w:rPr>
      <w:rFonts w:ascii="Tahoma" w:hAnsi="Tahoma" w:eastAsia="微软雅黑" w:cs="Tahoma"/>
      <w:sz w:val="18"/>
      <w:szCs w:val="18"/>
    </w:rPr>
  </w:style>
  <w:style w:type="character" w:customStyle="1" w:styleId="11">
    <w:name w:val="页脚 Char"/>
    <w:basedOn w:val="7"/>
    <w:link w:val="4"/>
    <w:qFormat/>
    <w:uiPriority w:val="0"/>
    <w:rPr>
      <w:rFonts w:ascii="Tahoma" w:hAnsi="Tahoma" w:eastAsia="微软雅黑" w:cs="Tahoma"/>
      <w:sz w:val="18"/>
      <w:szCs w:val="18"/>
    </w:rPr>
  </w:style>
  <w:style w:type="character" w:customStyle="1" w:styleId="12">
    <w:name w:val="批注框文本 Char"/>
    <w:basedOn w:val="7"/>
    <w:link w:val="3"/>
    <w:uiPriority w:val="0"/>
    <w:rPr>
      <w:rFonts w:ascii="Tahoma" w:hAnsi="Tahoma" w:eastAsia="微软雅黑" w:cs="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5516</Words>
  <Characters>31443</Characters>
  <Lines>262</Lines>
  <Paragraphs>73</Paragraphs>
  <TotalTime>2</TotalTime>
  <ScaleCrop>false</ScaleCrop>
  <LinksUpToDate>false</LinksUpToDate>
  <CharactersWithSpaces>36886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2024-09-06T18:01:00Z</dcterms:created>
  <dc:creator>凌超</dc:creator>
  <cp:lastModifiedBy>lenovo</cp:lastModifiedBy>
  <dcterms:modified xsi:type="dcterms:W3CDTF">2024-09-11T01:36:40Z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BFF357BBB57B479E82DDD96563C41EFB_11</vt:lpwstr>
  </property>
</Properties>
</file>