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BC" w:rsidRPr="00E32463" w:rsidRDefault="00FF5ABC" w:rsidP="00FF5ABC">
      <w:pPr>
        <w:pStyle w:val="1"/>
        <w:shd w:val="clear" w:color="auto" w:fill="auto"/>
        <w:spacing w:after="560" w:line="240" w:lineRule="auto"/>
        <w:ind w:firstLine="0"/>
        <w:jc w:val="both"/>
        <w:rPr>
          <w:rFonts w:ascii="宋体" w:eastAsia="宋体" w:hAnsi="宋体"/>
          <w:sz w:val="32"/>
          <w:szCs w:val="32"/>
        </w:rPr>
      </w:pPr>
      <w:r w:rsidRPr="00E32463">
        <w:rPr>
          <w:rFonts w:ascii="宋体" w:eastAsia="宋体" w:hAnsi="宋体"/>
        </w:rPr>
        <w:t>附件</w:t>
      </w:r>
      <w:r w:rsidRPr="00E32463">
        <w:rPr>
          <w:rFonts w:ascii="宋体" w:eastAsia="宋体" w:hAnsi="宋体" w:cs="Times New Roman"/>
          <w:sz w:val="32"/>
          <w:szCs w:val="32"/>
        </w:rPr>
        <w:t>1</w:t>
      </w:r>
    </w:p>
    <w:p w:rsidR="003C635B" w:rsidRDefault="00FF5ABC" w:rsidP="00FF5ABC">
      <w:pPr>
        <w:jc w:val="center"/>
        <w:rPr>
          <w:rFonts w:ascii="仿宋_GB2312" w:eastAsia="仿宋_GB2312"/>
          <w:b/>
          <w:sz w:val="32"/>
        </w:rPr>
      </w:pPr>
      <w:r w:rsidRPr="00FF5ABC">
        <w:rPr>
          <w:rFonts w:ascii="仿宋_GB2312" w:eastAsia="仿宋_GB2312" w:hint="eastAsia"/>
          <w:b/>
          <w:sz w:val="32"/>
        </w:rPr>
        <w:t>2022年度山东省中央引导地方科技发展资金项目支持方向</w:t>
      </w:r>
    </w:p>
    <w:p w:rsidR="00FF5ABC" w:rsidRDefault="00FF5ABC" w:rsidP="00FF5ABC">
      <w:pPr>
        <w:pStyle w:val="1"/>
        <w:shd w:val="clear" w:color="auto" w:fill="auto"/>
        <w:spacing w:line="575" w:lineRule="exact"/>
        <w:ind w:firstLine="660"/>
        <w:jc w:val="both"/>
        <w:rPr>
          <w:rFonts w:ascii="仿宋_GB2312" w:eastAsia="仿宋_GB2312" w:hAnsi="宋体"/>
          <w:sz w:val="28"/>
          <w:szCs w:val="28"/>
          <w:lang w:val="en-US" w:bidi="en-US"/>
        </w:rPr>
      </w:pPr>
    </w:p>
    <w:p w:rsidR="00FF5ABC" w:rsidRPr="00E2422D" w:rsidRDefault="00FF5ABC" w:rsidP="00FF5ABC">
      <w:pPr>
        <w:pStyle w:val="1"/>
        <w:shd w:val="clear" w:color="auto" w:fill="auto"/>
        <w:spacing w:line="575" w:lineRule="exact"/>
        <w:ind w:firstLine="660"/>
        <w:jc w:val="both"/>
        <w:rPr>
          <w:rFonts w:ascii="仿宋_GB2312" w:eastAsia="仿宋_GB2312" w:hAnsi="宋体"/>
          <w:b/>
          <w:sz w:val="28"/>
          <w:szCs w:val="28"/>
        </w:rPr>
      </w:pPr>
      <w:r w:rsidRPr="00E2422D">
        <w:rPr>
          <w:rFonts w:ascii="仿宋_GB2312" w:eastAsia="仿宋_GB2312" w:hAnsi="宋体" w:hint="eastAsia"/>
          <w:b/>
          <w:sz w:val="28"/>
          <w:szCs w:val="28"/>
          <w:lang w:val="en-US" w:bidi="en-US"/>
        </w:rPr>
        <w:t>—</w:t>
      </w:r>
      <w:r w:rsidRPr="00E2422D">
        <w:rPr>
          <w:rFonts w:ascii="仿宋_GB2312" w:eastAsia="仿宋_GB2312" w:hAnsi="宋体" w:hint="eastAsia"/>
          <w:b/>
          <w:sz w:val="28"/>
          <w:szCs w:val="28"/>
        </w:rPr>
        <w:t>、基础研究项目</w:t>
      </w:r>
    </w:p>
    <w:p w:rsidR="00FF5ABC" w:rsidRPr="00FF5ABC" w:rsidRDefault="00FF5ABC" w:rsidP="00FF5ABC">
      <w:pPr>
        <w:pStyle w:val="1"/>
        <w:shd w:val="clear" w:color="auto" w:fill="auto"/>
        <w:spacing w:line="575"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支持我省龙头骨干企业、高校院所深度合作，在国家自然科学基金结题项目取得阶段性重大成果的基础上，开展应用基础研究的概念验证与成果转化，强化国家级重大基础科研成果对我省产业升级的推动作用。</w:t>
      </w:r>
    </w:p>
    <w:p w:rsidR="00FF5ABC" w:rsidRPr="00FF5ABC" w:rsidRDefault="00FF5ABC" w:rsidP="00FF5ABC">
      <w:pPr>
        <w:pStyle w:val="1"/>
        <w:shd w:val="clear" w:color="auto" w:fill="auto"/>
        <w:spacing w:line="575"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支持对象及方式：支持我省龙头骨干企业牵头，与省内重点高校院所深度合作，针对我省近三年已结题的国家自然科学基金重点项目开展基础研究成果的验证、转化。企业与高校院所双方须就应用基础研究成果签订产学研合作协议（技术开发、技术服务合同等）。单项资助额度最高</w:t>
      </w:r>
      <w:r w:rsidRPr="00FF5ABC">
        <w:rPr>
          <w:rFonts w:ascii="仿宋_GB2312" w:eastAsia="仿宋_GB2312" w:hAnsi="宋体" w:cs="Times New Roman" w:hint="eastAsia"/>
          <w:sz w:val="28"/>
          <w:szCs w:val="28"/>
        </w:rPr>
        <w:t>60</w:t>
      </w:r>
      <w:r w:rsidRPr="00FF5ABC">
        <w:rPr>
          <w:rFonts w:ascii="仿宋_GB2312" w:eastAsia="仿宋_GB2312" w:hAnsi="宋体" w:hint="eastAsia"/>
          <w:sz w:val="28"/>
          <w:szCs w:val="28"/>
        </w:rPr>
        <w:t>万元。</w:t>
      </w:r>
    </w:p>
    <w:p w:rsidR="00E2422D" w:rsidRDefault="00FF5ABC" w:rsidP="00E2422D">
      <w:pPr>
        <w:pStyle w:val="1"/>
        <w:shd w:val="clear" w:color="auto" w:fill="auto"/>
        <w:spacing w:line="575" w:lineRule="exact"/>
        <w:ind w:firstLine="660"/>
        <w:jc w:val="both"/>
        <w:rPr>
          <w:rFonts w:ascii="仿宋_GB2312" w:eastAsia="仿宋_GB2312" w:hAnsi="宋体" w:hint="eastAsia"/>
          <w:sz w:val="28"/>
          <w:szCs w:val="28"/>
        </w:rPr>
      </w:pPr>
      <w:r w:rsidRPr="00FF5ABC">
        <w:rPr>
          <w:rFonts w:ascii="仿宋_GB2312" w:eastAsia="仿宋_GB2312" w:hAnsi="宋体" w:hint="eastAsia"/>
          <w:sz w:val="28"/>
          <w:szCs w:val="28"/>
        </w:rPr>
        <w:t>任务指标：突出理论研究成果的工程可行性验证效果,聚焦新概念、新理论，突破理论瓶颈、解决卡脖子核心普适性问题，缩短高质量科技成果与产业重大需求的距离，重点考核科技成果转化对产业升级的推动作用、技术更新带动产生的经济效益、衍生的技术协议、提供技术咨询/服务等</w:t>
      </w:r>
      <w:proofErr w:type="gramStart"/>
      <w:r w:rsidRPr="00FF5ABC">
        <w:rPr>
          <w:rFonts w:ascii="仿宋_GB2312" w:eastAsia="仿宋_GB2312" w:hAnsi="宋体" w:hint="eastAsia"/>
          <w:sz w:val="28"/>
          <w:szCs w:val="28"/>
        </w:rPr>
        <w:t>人次,</w:t>
      </w:r>
      <w:proofErr w:type="gramEnd"/>
      <w:r w:rsidRPr="00FF5ABC">
        <w:rPr>
          <w:rFonts w:ascii="仿宋_GB2312" w:eastAsia="仿宋_GB2312" w:hAnsi="宋体" w:hint="eastAsia"/>
          <w:sz w:val="28"/>
          <w:szCs w:val="28"/>
        </w:rPr>
        <w:t>以及概念验证中心等平台的建设情况等。</w:t>
      </w:r>
    </w:p>
    <w:p w:rsidR="00E2422D" w:rsidRPr="00E2422D" w:rsidRDefault="00FF5ABC" w:rsidP="00E2422D">
      <w:pPr>
        <w:pStyle w:val="1"/>
        <w:shd w:val="clear" w:color="auto" w:fill="auto"/>
        <w:spacing w:line="575" w:lineRule="exact"/>
        <w:ind w:firstLine="660"/>
        <w:jc w:val="both"/>
        <w:rPr>
          <w:rFonts w:ascii="仿宋_GB2312" w:eastAsia="仿宋_GB2312" w:hAnsi="宋体"/>
          <w:b/>
          <w:sz w:val="28"/>
          <w:szCs w:val="28"/>
        </w:rPr>
      </w:pPr>
      <w:r w:rsidRPr="00E2422D">
        <w:rPr>
          <w:rFonts w:ascii="仿宋_GB2312" w:eastAsia="仿宋_GB2312" w:hAnsi="宋体" w:hint="eastAsia"/>
          <w:b/>
          <w:sz w:val="28"/>
          <w:szCs w:val="28"/>
        </w:rPr>
        <w:t>二、科技创新基地项目</w:t>
      </w:r>
    </w:p>
    <w:p w:rsidR="00FF5ABC" w:rsidRPr="00FF5ABC" w:rsidRDefault="00FF5ABC" w:rsidP="00E2422D">
      <w:pPr>
        <w:pStyle w:val="1"/>
        <w:shd w:val="clear" w:color="auto" w:fill="auto"/>
        <w:spacing w:line="575"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落实科技部山东省部省工作会商会议纪要，支持培育建设省部共建国家重点实验室；落实黄河流域协同科技创新大会精神，支持建设“黄河科创基地”和“黄河科创联盟”；聚焦重点行业领域和产业发展方向，支持一批具有较强行业带动和产业支撑作用，能为产业发</w:t>
      </w:r>
      <w:r w:rsidRPr="00FF5ABC">
        <w:rPr>
          <w:rFonts w:ascii="仿宋_GB2312" w:eastAsia="仿宋_GB2312" w:hAnsi="宋体" w:hint="eastAsia"/>
          <w:sz w:val="28"/>
          <w:szCs w:val="28"/>
        </w:rPr>
        <w:lastRenderedPageBreak/>
        <w:t>展提供研发设计、检验检测、分析测试等高质量服务的研发公共服务平台和省级新型研发机构，以及一批具有较强孵化能力的国家级科技企业孵化载体和省级开放式大学科技园。</w:t>
      </w:r>
    </w:p>
    <w:p w:rsidR="00FF5ABC" w:rsidRPr="00FF5ABC" w:rsidRDefault="00FF5ABC" w:rsidP="00FF5ABC">
      <w:pPr>
        <w:pStyle w:val="1"/>
        <w:shd w:val="clear" w:color="auto" w:fill="auto"/>
        <w:spacing w:line="574"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支持对象及方式：落实科技部山东省部省工作会商会议纪要，定向支持山东师范大学、山东科技大学培育建设省部共建国家重点实验室；落实黄河流域协同科技创新大会精神,定向支持山东人才集团建设“黄河科创基地”和“黄河科创联盟”；研发公共服务平台和省级新型研发机构，单项资助额度最高</w:t>
      </w:r>
      <w:r w:rsidRPr="00FF5ABC">
        <w:rPr>
          <w:rFonts w:ascii="仿宋_GB2312" w:eastAsia="仿宋_GB2312" w:hAnsi="宋体" w:cs="Times New Roman" w:hint="eastAsia"/>
          <w:sz w:val="28"/>
          <w:szCs w:val="28"/>
        </w:rPr>
        <w:t>200</w:t>
      </w:r>
      <w:r w:rsidRPr="00FF5ABC">
        <w:rPr>
          <w:rFonts w:ascii="仿宋_GB2312" w:eastAsia="仿宋_GB2312" w:hAnsi="宋体" w:hint="eastAsia"/>
          <w:sz w:val="28"/>
          <w:szCs w:val="28"/>
        </w:rPr>
        <w:t>万元；国家级科技企业孵化载体（</w:t>
      </w:r>
      <w:proofErr w:type="gramStart"/>
      <w:r w:rsidRPr="00FF5ABC">
        <w:rPr>
          <w:rFonts w:ascii="仿宋_GB2312" w:eastAsia="仿宋_GB2312" w:hAnsi="宋体" w:hint="eastAsia"/>
          <w:sz w:val="28"/>
          <w:szCs w:val="28"/>
        </w:rPr>
        <w:t>含大学</w:t>
      </w:r>
      <w:proofErr w:type="gramEnd"/>
      <w:r w:rsidRPr="00FF5ABC">
        <w:rPr>
          <w:rFonts w:ascii="仿宋_GB2312" w:eastAsia="仿宋_GB2312" w:hAnsi="宋体" w:hint="eastAsia"/>
          <w:sz w:val="28"/>
          <w:szCs w:val="28"/>
        </w:rPr>
        <w:t>科技园、科技企业孵化器、</w:t>
      </w:r>
      <w:proofErr w:type="gramStart"/>
      <w:r w:rsidRPr="00FF5ABC">
        <w:rPr>
          <w:rFonts w:ascii="仿宋_GB2312" w:eastAsia="仿宋_GB2312" w:hAnsi="宋体" w:hint="eastAsia"/>
          <w:sz w:val="28"/>
          <w:szCs w:val="28"/>
        </w:rPr>
        <w:t>众创空间</w:t>
      </w:r>
      <w:proofErr w:type="gramEnd"/>
      <w:r w:rsidRPr="00FF5ABC">
        <w:rPr>
          <w:rFonts w:ascii="仿宋_GB2312" w:eastAsia="仿宋_GB2312" w:hAnsi="宋体" w:hint="eastAsia"/>
          <w:sz w:val="28"/>
          <w:szCs w:val="28"/>
        </w:rPr>
        <w:t>）、省级开放式大学科技园，单项资助额度最高</w:t>
      </w:r>
      <w:r w:rsidRPr="00FF5ABC">
        <w:rPr>
          <w:rFonts w:ascii="仿宋_GB2312" w:eastAsia="仿宋_GB2312" w:hAnsi="宋体" w:cs="Times New Roman" w:hint="eastAsia"/>
          <w:sz w:val="28"/>
          <w:szCs w:val="28"/>
        </w:rPr>
        <w:t>100</w:t>
      </w:r>
      <w:r w:rsidRPr="00FF5ABC">
        <w:rPr>
          <w:rFonts w:ascii="仿宋_GB2312" w:eastAsia="仿宋_GB2312" w:hAnsi="宋体" w:hint="eastAsia"/>
          <w:sz w:val="28"/>
          <w:szCs w:val="28"/>
        </w:rPr>
        <w:t>万元。</w:t>
      </w:r>
    </w:p>
    <w:p w:rsidR="00FF5ABC" w:rsidRPr="00FF5ABC" w:rsidRDefault="00FF5ABC" w:rsidP="00FF5ABC">
      <w:pPr>
        <w:pStyle w:val="1"/>
        <w:shd w:val="clear" w:color="auto" w:fill="auto"/>
        <w:spacing w:line="574"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任务指标：研发公共服务平台和省级新型研发机构强调</w:t>
      </w:r>
      <w:proofErr w:type="gramStart"/>
      <w:r w:rsidRPr="00FF5ABC">
        <w:rPr>
          <w:rFonts w:ascii="仿宋_GB2312" w:eastAsia="仿宋_GB2312" w:hAnsi="宋体" w:hint="eastAsia"/>
          <w:sz w:val="28"/>
          <w:szCs w:val="28"/>
        </w:rPr>
        <w:t>科创基地</w:t>
      </w:r>
      <w:proofErr w:type="gramEnd"/>
      <w:r w:rsidRPr="00FF5ABC">
        <w:rPr>
          <w:rFonts w:ascii="仿宋_GB2312" w:eastAsia="仿宋_GB2312" w:hAnsi="宋体" w:hint="eastAsia"/>
          <w:sz w:val="28"/>
          <w:szCs w:val="28"/>
        </w:rPr>
        <w:t>科技成果转化能力，重点考核项目转化科技成果数量、促进科技投融资金额、提供技术咨询/技术服务数量、促进技术合同成交额等指标；国家级科技企业孵化载体、省级开放式大学科技园聚焦</w:t>
      </w:r>
      <w:proofErr w:type="gramStart"/>
      <w:r w:rsidRPr="00FF5ABC">
        <w:rPr>
          <w:rFonts w:ascii="仿宋_GB2312" w:eastAsia="仿宋_GB2312" w:hAnsi="宋体" w:hint="eastAsia"/>
          <w:sz w:val="28"/>
          <w:szCs w:val="28"/>
        </w:rPr>
        <w:t>提升科创基地</w:t>
      </w:r>
      <w:proofErr w:type="gramEnd"/>
      <w:r w:rsidRPr="00FF5ABC">
        <w:rPr>
          <w:rFonts w:ascii="仿宋_GB2312" w:eastAsia="仿宋_GB2312" w:hAnsi="宋体" w:hint="eastAsia"/>
          <w:sz w:val="28"/>
          <w:szCs w:val="28"/>
        </w:rPr>
        <w:t>孵化能力与成果转化人才培养能力，重点考核项目新增在</w:t>
      </w:r>
      <w:proofErr w:type="gramStart"/>
      <w:r w:rsidRPr="00FF5ABC">
        <w:rPr>
          <w:rFonts w:ascii="仿宋_GB2312" w:eastAsia="仿宋_GB2312" w:hAnsi="宋体" w:hint="eastAsia"/>
          <w:sz w:val="28"/>
          <w:szCs w:val="28"/>
        </w:rPr>
        <w:t>孵企业</w:t>
      </w:r>
      <w:proofErr w:type="gramEnd"/>
      <w:r w:rsidRPr="00FF5ABC">
        <w:rPr>
          <w:rFonts w:ascii="仿宋_GB2312" w:eastAsia="仿宋_GB2312" w:hAnsi="宋体" w:hint="eastAsia"/>
          <w:sz w:val="28"/>
          <w:szCs w:val="28"/>
        </w:rPr>
        <w:t>数量、培训技术经纪人数量、开展创业辅导活动场次等指标。</w:t>
      </w:r>
    </w:p>
    <w:p w:rsidR="00FF5ABC" w:rsidRPr="00E2422D" w:rsidRDefault="00FF5ABC" w:rsidP="00FF5ABC">
      <w:pPr>
        <w:pStyle w:val="1"/>
        <w:shd w:val="clear" w:color="auto" w:fill="auto"/>
        <w:spacing w:line="575" w:lineRule="exact"/>
        <w:ind w:firstLine="660"/>
        <w:jc w:val="both"/>
        <w:rPr>
          <w:rFonts w:ascii="仿宋_GB2312" w:eastAsia="仿宋_GB2312" w:hAnsi="宋体"/>
          <w:b/>
          <w:sz w:val="28"/>
          <w:szCs w:val="28"/>
        </w:rPr>
      </w:pPr>
      <w:r w:rsidRPr="00E2422D">
        <w:rPr>
          <w:rFonts w:ascii="仿宋_GB2312" w:eastAsia="仿宋_GB2312" w:hAnsi="宋体" w:hint="eastAsia"/>
          <w:b/>
          <w:sz w:val="28"/>
          <w:szCs w:val="28"/>
        </w:rPr>
        <w:t>三、科技成果转移转化项目</w:t>
      </w:r>
    </w:p>
    <w:p w:rsidR="00FF5ABC" w:rsidRPr="00FF5ABC" w:rsidRDefault="00FF5ABC" w:rsidP="00FF5ABC">
      <w:pPr>
        <w:pStyle w:val="1"/>
        <w:shd w:val="clear" w:color="auto" w:fill="auto"/>
        <w:spacing w:line="575"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一是聚焦区域特色产业，支持公益属性明显、引导带动作用突出、惠及人民群众广泛的科技成果转化示范项目和科技帮扶项目。</w:t>
      </w:r>
    </w:p>
    <w:p w:rsidR="00FF5ABC" w:rsidRPr="00FF5ABC" w:rsidRDefault="00FF5ABC" w:rsidP="00FF5ABC">
      <w:pPr>
        <w:pStyle w:val="1"/>
        <w:shd w:val="clear" w:color="auto" w:fill="auto"/>
        <w:spacing w:line="575"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支持对象及方式：科技成果转化示范项目和科技帮扶项目（科技帮扶项目须有我省科技特派员参与实施）由省内龙头企业、高校院所牵头，产学研深度融合，单项资助额度最高</w:t>
      </w:r>
      <w:r w:rsidRPr="00FF5ABC">
        <w:rPr>
          <w:rFonts w:ascii="仿宋_GB2312" w:eastAsia="仿宋_GB2312" w:hAnsi="宋体" w:cs="Times New Roman" w:hint="eastAsia"/>
          <w:sz w:val="28"/>
          <w:szCs w:val="28"/>
        </w:rPr>
        <w:t>100</w:t>
      </w:r>
      <w:r w:rsidRPr="00FF5ABC">
        <w:rPr>
          <w:rFonts w:ascii="仿宋_GB2312" w:eastAsia="仿宋_GB2312" w:hAnsi="宋体" w:hint="eastAsia"/>
          <w:sz w:val="28"/>
          <w:szCs w:val="28"/>
        </w:rPr>
        <w:t>万元。</w:t>
      </w:r>
    </w:p>
    <w:p w:rsidR="00FF5ABC" w:rsidRPr="00FF5ABC" w:rsidRDefault="00FF5ABC" w:rsidP="00FF5ABC">
      <w:pPr>
        <w:pStyle w:val="1"/>
        <w:shd w:val="clear" w:color="auto" w:fill="auto"/>
        <w:spacing w:line="574"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任务指标：强调科技成果转化示范项目和科技帮扶项目科技成果转化能力，重点考核项目转化科技成果数量、促进科技投融资金额、</w:t>
      </w:r>
      <w:r w:rsidRPr="00FF5ABC">
        <w:rPr>
          <w:rFonts w:ascii="仿宋_GB2312" w:eastAsia="仿宋_GB2312" w:hAnsi="宋体" w:hint="eastAsia"/>
          <w:sz w:val="28"/>
          <w:szCs w:val="28"/>
        </w:rPr>
        <w:lastRenderedPageBreak/>
        <w:t>提供技术服务数量；聚焦科技帮扶项目对农业科技成果转化带动作用，重点考核项目培训和指导农业科技服务数量、科技特派员服务农户数量等。</w:t>
      </w:r>
    </w:p>
    <w:p w:rsidR="00FF5ABC" w:rsidRPr="00FF5ABC" w:rsidRDefault="00FF5ABC" w:rsidP="00FF5ABC">
      <w:pPr>
        <w:pStyle w:val="1"/>
        <w:shd w:val="clear" w:color="auto" w:fill="auto"/>
        <w:spacing w:line="574"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二是瞄准成果策源地，进一步深化赋予科研人员职务科技成果所有权或长期使用权改革，支持省属高等学校、科研院所完善职务科技成果转化服务体系，打造成果评价、概念验证、</w:t>
      </w:r>
      <w:proofErr w:type="gramStart"/>
      <w:r w:rsidRPr="00FF5ABC">
        <w:rPr>
          <w:rFonts w:ascii="仿宋_GB2312" w:eastAsia="仿宋_GB2312" w:hAnsi="宋体" w:hint="eastAsia"/>
          <w:sz w:val="28"/>
          <w:szCs w:val="28"/>
        </w:rPr>
        <w:t>人才引育等</w:t>
      </w:r>
      <w:proofErr w:type="gramEnd"/>
      <w:r w:rsidRPr="00FF5ABC">
        <w:rPr>
          <w:rFonts w:ascii="仿宋_GB2312" w:eastAsia="仿宋_GB2312" w:hAnsi="宋体" w:hint="eastAsia"/>
          <w:sz w:val="28"/>
          <w:szCs w:val="28"/>
        </w:rPr>
        <w:t>服务平台，探索规范科技成果评价改革运行机制，提升科技成果源头供给质量和转化效率。</w:t>
      </w:r>
    </w:p>
    <w:p w:rsidR="00FF5ABC" w:rsidRPr="00FF5ABC" w:rsidRDefault="00FF5ABC" w:rsidP="00FF5ABC">
      <w:pPr>
        <w:pStyle w:val="1"/>
        <w:shd w:val="clear" w:color="auto" w:fill="auto"/>
        <w:spacing w:line="574"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支持对象及方式：省属高等学校、科研院所科技成果转化综合试点单位。由各试点单位牵头申报，大力推广科技成果转化试点现有成效，单项资助额度最高</w:t>
      </w:r>
      <w:r w:rsidRPr="00FF5ABC">
        <w:rPr>
          <w:rFonts w:ascii="仿宋_GB2312" w:eastAsia="仿宋_GB2312" w:hAnsi="宋体" w:cs="Times New Roman" w:hint="eastAsia"/>
          <w:sz w:val="28"/>
          <w:szCs w:val="28"/>
        </w:rPr>
        <w:t>300</w:t>
      </w:r>
      <w:r w:rsidRPr="00FF5ABC">
        <w:rPr>
          <w:rFonts w:ascii="仿宋_GB2312" w:eastAsia="仿宋_GB2312" w:hAnsi="宋体" w:hint="eastAsia"/>
          <w:sz w:val="28"/>
          <w:szCs w:val="28"/>
        </w:rPr>
        <w:t>万元。</w:t>
      </w:r>
    </w:p>
    <w:p w:rsidR="00FF5ABC" w:rsidRPr="00FF5ABC" w:rsidRDefault="00FF5ABC" w:rsidP="00FF5ABC">
      <w:pPr>
        <w:pStyle w:val="1"/>
        <w:shd w:val="clear" w:color="auto" w:fill="auto"/>
        <w:spacing w:line="574"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任务指标：建立健全职务科技成果产权激励的运行机制和制度体系，在优化国有资产管理方式、加强内设机构及人才队伍建设、完善内部管理制度等方面形成可在全省推广的经验做法，重点考核转化科技成果数、科技投融资金额、技术合同交易额、在</w:t>
      </w:r>
      <w:proofErr w:type="gramStart"/>
      <w:r w:rsidRPr="00FF5ABC">
        <w:rPr>
          <w:rFonts w:ascii="仿宋_GB2312" w:eastAsia="仿宋_GB2312" w:hAnsi="宋体" w:hint="eastAsia"/>
          <w:sz w:val="28"/>
          <w:szCs w:val="28"/>
        </w:rPr>
        <w:t>孵企业</w:t>
      </w:r>
      <w:proofErr w:type="gramEnd"/>
      <w:r w:rsidRPr="00FF5ABC">
        <w:rPr>
          <w:rFonts w:ascii="仿宋_GB2312" w:eastAsia="仿宋_GB2312" w:hAnsi="宋体" w:hint="eastAsia"/>
          <w:sz w:val="28"/>
          <w:szCs w:val="28"/>
        </w:rPr>
        <w:t>数量、开展创业辅导活动次数、提供技术咨询/技术服务人次、引育（培训）技术经纪人数量、培训从事技术创新服务人员数量，以及成果评价改革机制建设情况和平台建设情况等。</w:t>
      </w:r>
    </w:p>
    <w:p w:rsidR="00FF5ABC" w:rsidRPr="00FF5ABC" w:rsidRDefault="00FF5ABC" w:rsidP="00FF5ABC">
      <w:pPr>
        <w:pStyle w:val="1"/>
        <w:shd w:val="clear" w:color="auto" w:fill="auto"/>
        <w:spacing w:line="576"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三是围绕推进技术转移先进县建设，以构建全省技术转移体系为主线，建立健全县域技术转移机制，完善政策环境,优化资源配置，加强供需对接，促进县域科技成果转移转化,助推县域创新驱动发展。</w:t>
      </w:r>
    </w:p>
    <w:p w:rsidR="00FF5ABC" w:rsidRPr="00FF5ABC" w:rsidRDefault="00FF5ABC" w:rsidP="00FF5ABC">
      <w:pPr>
        <w:pStyle w:val="1"/>
        <w:shd w:val="clear" w:color="auto" w:fill="auto"/>
        <w:spacing w:line="576"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支持对象及方式：以项目形式支持在</w:t>
      </w:r>
      <w:r w:rsidRPr="00FF5ABC">
        <w:rPr>
          <w:rFonts w:ascii="仿宋_GB2312" w:eastAsia="仿宋_GB2312" w:hAnsi="宋体" w:cs="Times New Roman" w:hint="eastAsia"/>
          <w:sz w:val="28"/>
          <w:szCs w:val="28"/>
        </w:rPr>
        <w:t>2022</w:t>
      </w:r>
      <w:r w:rsidRPr="00FF5ABC">
        <w:rPr>
          <w:rFonts w:ascii="仿宋_GB2312" w:eastAsia="仿宋_GB2312" w:hAnsi="宋体" w:hint="eastAsia"/>
          <w:sz w:val="28"/>
          <w:szCs w:val="28"/>
        </w:rPr>
        <w:t>年技术转移先进县（市、区）绩效评价中结果为“优”的县（市、区）。申报通知另发。</w:t>
      </w:r>
    </w:p>
    <w:p w:rsidR="00FF5ABC" w:rsidRPr="00FF5ABC" w:rsidRDefault="00FF5ABC" w:rsidP="00FF5ABC">
      <w:pPr>
        <w:pStyle w:val="1"/>
        <w:shd w:val="clear" w:color="auto" w:fill="auto"/>
        <w:spacing w:line="576"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任务指标：提高技术转移先进</w:t>
      </w:r>
      <w:proofErr w:type="gramStart"/>
      <w:r w:rsidRPr="00FF5ABC">
        <w:rPr>
          <w:rFonts w:ascii="仿宋_GB2312" w:eastAsia="仿宋_GB2312" w:hAnsi="宋体" w:hint="eastAsia"/>
          <w:sz w:val="28"/>
          <w:szCs w:val="28"/>
        </w:rPr>
        <w:t>县成果</w:t>
      </w:r>
      <w:proofErr w:type="gramEnd"/>
      <w:r w:rsidRPr="00FF5ABC">
        <w:rPr>
          <w:rFonts w:ascii="仿宋_GB2312" w:eastAsia="仿宋_GB2312" w:hAnsi="宋体" w:hint="eastAsia"/>
          <w:sz w:val="28"/>
          <w:szCs w:val="28"/>
        </w:rPr>
        <w:t>转化能力，重点考核项目转</w:t>
      </w:r>
      <w:r w:rsidRPr="00FF5ABC">
        <w:rPr>
          <w:rFonts w:ascii="仿宋_GB2312" w:eastAsia="仿宋_GB2312" w:hAnsi="宋体" w:hint="eastAsia"/>
          <w:sz w:val="28"/>
          <w:szCs w:val="28"/>
        </w:rPr>
        <w:lastRenderedPageBreak/>
        <w:t>化科技成果数量、促进科技投融资金额、促进技术合同成交额与提供技术咨询/技术服务数量等指标。</w:t>
      </w:r>
    </w:p>
    <w:p w:rsidR="00FF5ABC" w:rsidRPr="00E2422D" w:rsidRDefault="00FF5ABC" w:rsidP="00FF5ABC">
      <w:pPr>
        <w:pStyle w:val="1"/>
        <w:shd w:val="clear" w:color="auto" w:fill="auto"/>
        <w:spacing w:line="576" w:lineRule="exact"/>
        <w:ind w:firstLine="660"/>
        <w:jc w:val="both"/>
        <w:rPr>
          <w:rFonts w:ascii="仿宋_GB2312" w:eastAsia="仿宋_GB2312" w:hAnsi="宋体"/>
          <w:b/>
          <w:sz w:val="28"/>
          <w:szCs w:val="28"/>
        </w:rPr>
      </w:pPr>
      <w:bookmarkStart w:id="0" w:name="_GoBack"/>
      <w:r w:rsidRPr="00E2422D">
        <w:rPr>
          <w:rFonts w:ascii="仿宋_GB2312" w:eastAsia="仿宋_GB2312" w:hAnsi="宋体" w:hint="eastAsia"/>
          <w:b/>
          <w:sz w:val="28"/>
          <w:szCs w:val="28"/>
        </w:rPr>
        <w:t>四、区域创新体系建设项目</w:t>
      </w:r>
    </w:p>
    <w:bookmarkEnd w:id="0"/>
    <w:p w:rsidR="00FF5ABC" w:rsidRPr="00FF5ABC" w:rsidRDefault="00FF5ABC" w:rsidP="00FF5ABC">
      <w:pPr>
        <w:pStyle w:val="1"/>
        <w:shd w:val="clear" w:color="auto" w:fill="auto"/>
        <w:spacing w:line="576"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围绕推进济</w:t>
      </w:r>
      <w:proofErr w:type="gramStart"/>
      <w:r w:rsidRPr="00FF5ABC">
        <w:rPr>
          <w:rFonts w:ascii="仿宋_GB2312" w:eastAsia="仿宋_GB2312" w:hAnsi="宋体" w:hint="eastAsia"/>
          <w:sz w:val="28"/>
          <w:szCs w:val="28"/>
        </w:rPr>
        <w:t>青国家</w:t>
      </w:r>
      <w:proofErr w:type="gramEnd"/>
      <w:r w:rsidRPr="00FF5ABC">
        <w:rPr>
          <w:rFonts w:ascii="仿宋_GB2312" w:eastAsia="仿宋_GB2312" w:hAnsi="宋体" w:hint="eastAsia"/>
          <w:sz w:val="28"/>
          <w:szCs w:val="28"/>
        </w:rPr>
        <w:t>区域科技创新中心、山东半岛国家自主创新示范区、黄三</w:t>
      </w:r>
      <w:proofErr w:type="gramStart"/>
      <w:r w:rsidRPr="00FF5ABC">
        <w:rPr>
          <w:rFonts w:ascii="仿宋_GB2312" w:eastAsia="仿宋_GB2312" w:hAnsi="宋体" w:hint="eastAsia"/>
          <w:sz w:val="28"/>
          <w:szCs w:val="28"/>
        </w:rPr>
        <w:t>角国家农高</w:t>
      </w:r>
      <w:proofErr w:type="gramEnd"/>
      <w:r w:rsidRPr="00FF5ABC">
        <w:rPr>
          <w:rFonts w:ascii="仿宋_GB2312" w:eastAsia="仿宋_GB2312" w:hAnsi="宋体" w:hint="eastAsia"/>
          <w:sz w:val="28"/>
          <w:szCs w:val="28"/>
        </w:rPr>
        <w:t>区、国家高新区、国家创新型县（市）等国家级区域创新载体建设，加大对济南市、</w:t>
      </w:r>
      <w:r w:rsidRPr="00FF5ABC">
        <w:rPr>
          <w:rFonts w:ascii="仿宋_GB2312" w:eastAsia="仿宋_GB2312" w:hAnsi="宋体" w:cs="Times New Roman" w:hint="eastAsia"/>
          <w:sz w:val="28"/>
          <w:szCs w:val="28"/>
        </w:rPr>
        <w:t>12</w:t>
      </w:r>
      <w:r w:rsidRPr="00FF5ABC">
        <w:rPr>
          <w:rFonts w:ascii="仿宋_GB2312" w:eastAsia="仿宋_GB2312" w:hAnsi="宋体" w:hint="eastAsia"/>
          <w:sz w:val="28"/>
          <w:szCs w:val="28"/>
        </w:rPr>
        <w:t>个国家高新区（不含青岛高新区）、</w:t>
      </w:r>
      <w:r w:rsidRPr="00FF5ABC">
        <w:rPr>
          <w:rFonts w:ascii="仿宋_GB2312" w:eastAsia="仿宋_GB2312" w:hAnsi="宋体" w:cs="Times New Roman" w:hint="eastAsia"/>
          <w:sz w:val="28"/>
          <w:szCs w:val="28"/>
        </w:rPr>
        <w:t>3</w:t>
      </w:r>
      <w:r w:rsidRPr="00FF5ABC">
        <w:rPr>
          <w:rFonts w:ascii="仿宋_GB2312" w:eastAsia="仿宋_GB2312" w:hAnsi="宋体" w:hint="eastAsia"/>
          <w:sz w:val="28"/>
          <w:szCs w:val="28"/>
        </w:rPr>
        <w:t>个国家创新型县（市）内高新技术企业培育支持力度，提升企业技术创新能力，为打造区域创新高地、推进高质量发展提供有力支撑。</w:t>
      </w:r>
    </w:p>
    <w:p w:rsidR="00FF5ABC" w:rsidRPr="002C53A9" w:rsidRDefault="00FF5ABC" w:rsidP="002C53A9">
      <w:pPr>
        <w:pStyle w:val="1"/>
        <w:shd w:val="clear" w:color="auto" w:fill="auto"/>
        <w:spacing w:line="580"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支持对象及方式：一是组织山东半岛国家自创区内龙头企业、创新平台、高校院所等联合申报，能够带动自创区相关产业集群发展、促进自创区一体化发展的项目，单项资助额度最高</w:t>
      </w:r>
      <w:r w:rsidRPr="00FF5ABC">
        <w:rPr>
          <w:rFonts w:ascii="仿宋_GB2312" w:eastAsia="仿宋_GB2312" w:hAnsi="宋体" w:cs="Times New Roman" w:hint="eastAsia"/>
          <w:sz w:val="28"/>
          <w:szCs w:val="28"/>
        </w:rPr>
        <w:t>1000</w:t>
      </w:r>
      <w:r w:rsidRPr="00FF5ABC">
        <w:rPr>
          <w:rFonts w:ascii="仿宋_GB2312" w:eastAsia="仿宋_GB2312" w:hAnsi="宋体" w:hint="eastAsia"/>
          <w:sz w:val="28"/>
          <w:szCs w:val="28"/>
        </w:rPr>
        <w:t>万元。</w:t>
      </w:r>
    </w:p>
    <w:p w:rsidR="00FF5ABC" w:rsidRPr="00FF5ABC" w:rsidRDefault="00FF5ABC" w:rsidP="00FF5ABC">
      <w:pPr>
        <w:pStyle w:val="1"/>
        <w:shd w:val="clear" w:color="auto" w:fill="auto"/>
        <w:spacing w:line="576"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二是支持济南市、12个国家高新区（不含青岛高新区）、3个国家创新型县（市）内2021年首次通过高新技术企业认定的国家科技型中小企业库入库企业。单项资助额度最高100万元。</w:t>
      </w:r>
    </w:p>
    <w:p w:rsidR="00FF5ABC" w:rsidRPr="00FF5ABC" w:rsidRDefault="00FF5ABC" w:rsidP="00FF5ABC">
      <w:pPr>
        <w:pStyle w:val="1"/>
        <w:shd w:val="clear" w:color="auto" w:fill="auto"/>
        <w:spacing w:line="576" w:lineRule="exact"/>
        <w:ind w:firstLine="660"/>
        <w:jc w:val="both"/>
        <w:rPr>
          <w:rFonts w:ascii="仿宋_GB2312" w:eastAsia="仿宋_GB2312" w:hAnsi="宋体"/>
          <w:sz w:val="28"/>
          <w:szCs w:val="28"/>
        </w:rPr>
      </w:pPr>
      <w:r w:rsidRPr="00FF5ABC">
        <w:rPr>
          <w:rFonts w:ascii="仿宋_GB2312" w:eastAsia="仿宋_GB2312" w:hAnsi="宋体" w:hint="eastAsia"/>
          <w:sz w:val="28"/>
          <w:szCs w:val="28"/>
        </w:rPr>
        <w:t>任务指标：提高区域创新载体成果转化能力，重点考核项目转化科技成果数量、促进科技投融资金额、促进技术合同成交额与提供技术咨询/技术服务数量等指标；突出区域创新载体培育企业作用，重点考核项目新增在</w:t>
      </w:r>
      <w:proofErr w:type="gramStart"/>
      <w:r w:rsidRPr="00FF5ABC">
        <w:rPr>
          <w:rFonts w:ascii="仿宋_GB2312" w:eastAsia="仿宋_GB2312" w:hAnsi="宋体" w:hint="eastAsia"/>
          <w:sz w:val="28"/>
          <w:szCs w:val="28"/>
        </w:rPr>
        <w:t>孵企业</w:t>
      </w:r>
      <w:proofErr w:type="gramEnd"/>
      <w:r w:rsidRPr="00FF5ABC">
        <w:rPr>
          <w:rFonts w:ascii="仿宋_GB2312" w:eastAsia="仿宋_GB2312" w:hAnsi="宋体" w:hint="eastAsia"/>
          <w:sz w:val="28"/>
          <w:szCs w:val="28"/>
        </w:rPr>
        <w:t>数量指标。</w:t>
      </w:r>
    </w:p>
    <w:sectPr w:rsidR="00FF5ABC" w:rsidRPr="00FF5ABC">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EB" w:rsidRDefault="00E358EB" w:rsidP="00FF5ABC">
      <w:r>
        <w:separator/>
      </w:r>
    </w:p>
  </w:endnote>
  <w:endnote w:type="continuationSeparator" w:id="0">
    <w:p w:rsidR="00E358EB" w:rsidRDefault="00E358EB" w:rsidP="00FF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BC" w:rsidRDefault="00FF5ABC">
    <w:pPr>
      <w:spacing w:line="1" w:lineRule="exact"/>
    </w:pPr>
    <w:r>
      <w:rPr>
        <w:noProof/>
      </w:rPr>
      <mc:AlternateContent>
        <mc:Choice Requires="wps">
          <w:drawing>
            <wp:anchor distT="0" distB="0" distL="0" distR="0" simplePos="0" relativeHeight="251660288" behindDoc="1" locked="0" layoutInCell="1" allowOverlap="1" wp14:anchorId="688E4A50" wp14:editId="35C5CAA9">
              <wp:simplePos x="0" y="0"/>
              <wp:positionH relativeFrom="page">
                <wp:posOffset>3622675</wp:posOffset>
              </wp:positionH>
              <wp:positionV relativeFrom="page">
                <wp:posOffset>9587865</wp:posOffset>
              </wp:positionV>
              <wp:extent cx="283210" cy="125095"/>
              <wp:effectExtent l="0" t="0" r="0" b="0"/>
              <wp:wrapNone/>
              <wp:docPr id="4" name="Shape 4"/>
              <wp:cNvGraphicFramePr/>
              <a:graphic xmlns:a="http://schemas.openxmlformats.org/drawingml/2006/main">
                <a:graphicData uri="http://schemas.microsoft.com/office/word/2010/wordprocessingShape">
                  <wps:wsp>
                    <wps:cNvSpPr txBox="1"/>
                    <wps:spPr>
                      <a:xfrm>
                        <a:off x="0" y="0"/>
                        <a:ext cx="283210" cy="125095"/>
                      </a:xfrm>
                      <a:prstGeom prst="rect">
                        <a:avLst/>
                      </a:prstGeom>
                      <a:noFill/>
                    </wps:spPr>
                    <wps:txbx>
                      <w:txbxContent>
                        <w:p w:rsidR="00FF5ABC" w:rsidRDefault="00FF5ABC">
                          <w:pPr>
                            <w:pStyle w:val="20"/>
                            <w:shd w:val="clear" w:color="auto" w:fill="auto"/>
                            <w:rPr>
                              <w:sz w:val="28"/>
                              <w:szCs w:val="28"/>
                            </w:rPr>
                          </w:pPr>
                          <w:r>
                            <w:rPr>
                              <w:sz w:val="28"/>
                              <w:szCs w:val="28"/>
                              <w:lang w:val="en-US" w:eastAsia="en-US" w:bidi="en-US"/>
                            </w:rPr>
                            <w:t>-</w:t>
                          </w:r>
                          <w:r>
                            <w:fldChar w:fldCharType="begin"/>
                          </w:r>
                          <w:r>
                            <w:instrText xml:space="preserve"> PAGE \* MERGEFORMAT </w:instrText>
                          </w:r>
                          <w:r>
                            <w:fldChar w:fldCharType="separate"/>
                          </w:r>
                          <w:r w:rsidRPr="00FC5EF9">
                            <w:rPr>
                              <w:noProof/>
                              <w:sz w:val="28"/>
                              <w:szCs w:val="28"/>
                              <w:lang w:val="en-US" w:eastAsia="en-US" w:bidi="en-US"/>
                            </w:rPr>
                            <w:t>2</w:t>
                          </w:r>
                          <w:r>
                            <w:rPr>
                              <w:sz w:val="28"/>
                              <w:szCs w:val="28"/>
                              <w:lang w:val="en-US" w:eastAsia="en-US" w:bidi="en-US"/>
                            </w:rPr>
                            <w:fldChar w:fldCharType="end"/>
                          </w:r>
                          <w:r>
                            <w:rPr>
                              <w:sz w:val="28"/>
                              <w:szCs w:val="28"/>
                            </w:rPr>
                            <w:t>-</w:t>
                          </w:r>
                        </w:p>
                      </w:txbxContent>
                    </wps:txbx>
                    <wps:bodyPr wrap="none" lIns="0" tIns="0" rIns="0" bIns="0">
                      <a:spAutoFit/>
                    </wps:bodyPr>
                  </wps:wsp>
                </a:graphicData>
              </a:graphic>
            </wp:anchor>
          </w:drawing>
        </mc:Choice>
        <mc:Fallback>
          <w:pict>
            <v:shapetype w14:anchorId="688E4A50" id="_x0000_t202" coordsize="21600,21600" o:spt="202" path="m,l,21600r21600,l21600,xe">
              <v:stroke joinstyle="miter"/>
              <v:path gradientshapeok="t" o:connecttype="rect"/>
            </v:shapetype>
            <v:shape id="Shape 4" o:spid="_x0000_s1026" type="#_x0000_t202" style="position:absolute;left:0;text-align:left;margin-left:285.25pt;margin-top:754.95pt;width:22.3pt;height:9.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" filled="f" stroked="f">
              <v:textbox style="mso-fit-shape-to-text:t" inset="0,0,0,0">
                <w:txbxContent>
                  <w:p w:rsidR="00FF5ABC" w:rsidRDefault="00FF5ABC">
                    <w:pPr>
                      <w:pStyle w:val="20"/>
                      <w:shd w:val="clear" w:color="auto" w:fill="auto"/>
                      <w:rPr>
                        <w:sz w:val="28"/>
                        <w:szCs w:val="28"/>
                      </w:rPr>
                    </w:pPr>
                    <w:r>
                      <w:rPr>
                        <w:sz w:val="28"/>
                        <w:szCs w:val="28"/>
                        <w:lang w:val="en-US" w:eastAsia="en-US" w:bidi="en-US"/>
                      </w:rPr>
                      <w:t>-</w:t>
                    </w:r>
                    <w:r>
                      <w:fldChar w:fldCharType="begin"/>
                    </w:r>
                    <w:r>
                      <w:instrText xml:space="preserve"> PAGE \* MERGEFORMAT </w:instrText>
                    </w:r>
                    <w:r>
                      <w:fldChar w:fldCharType="separate"/>
                    </w:r>
                    <w:r w:rsidRPr="00FC5EF9">
                      <w:rPr>
                        <w:noProof/>
                        <w:sz w:val="28"/>
                        <w:szCs w:val="28"/>
                        <w:lang w:val="en-US" w:eastAsia="en-US" w:bidi="en-US"/>
                      </w:rPr>
                      <w:t>2</w:t>
                    </w:r>
                    <w:r>
                      <w:rPr>
                        <w:sz w:val="28"/>
                        <w:szCs w:val="28"/>
                        <w:lang w:val="en-US" w:eastAsia="en-US" w:bidi="en-US"/>
                      </w:rPr>
                      <w:fldChar w:fldCharType="end"/>
                    </w:r>
                    <w:r>
                      <w:rPr>
                        <w:sz w:val="28"/>
                        <w:szCs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BC" w:rsidRDefault="00FF5ABC">
    <w:pPr>
      <w:spacing w:line="1" w:lineRule="exact"/>
    </w:pPr>
    <w:r>
      <w:rPr>
        <w:noProof/>
      </w:rPr>
      <mc:AlternateContent>
        <mc:Choice Requires="wps">
          <w:drawing>
            <wp:anchor distT="0" distB="0" distL="0" distR="0" simplePos="0" relativeHeight="251659264" behindDoc="1" locked="0" layoutInCell="1" allowOverlap="1" wp14:anchorId="7FFC88F0" wp14:editId="161E4D56">
              <wp:simplePos x="0" y="0"/>
              <wp:positionH relativeFrom="page">
                <wp:posOffset>3613785</wp:posOffset>
              </wp:positionH>
              <wp:positionV relativeFrom="page">
                <wp:posOffset>9590405</wp:posOffset>
              </wp:positionV>
              <wp:extent cx="286385" cy="121920"/>
              <wp:effectExtent l="0" t="0" r="0" b="0"/>
              <wp:wrapNone/>
              <wp:docPr id="2" name="Shape 2"/>
              <wp:cNvGraphicFramePr/>
              <a:graphic xmlns:a="http://schemas.openxmlformats.org/drawingml/2006/main">
                <a:graphicData uri="http://schemas.microsoft.com/office/word/2010/wordprocessingShape">
                  <wps:wsp>
                    <wps:cNvSpPr txBox="1"/>
                    <wps:spPr>
                      <a:xfrm>
                        <a:off x="0" y="0"/>
                        <a:ext cx="286385" cy="121920"/>
                      </a:xfrm>
                      <a:prstGeom prst="rect">
                        <a:avLst/>
                      </a:prstGeom>
                      <a:noFill/>
                    </wps:spPr>
                    <wps:txbx>
                      <w:txbxContent>
                        <w:p w:rsidR="00FF5ABC" w:rsidRDefault="00FF5ABC">
                          <w:pPr>
                            <w:pStyle w:val="20"/>
                            <w:shd w:val="clear" w:color="auto" w:fill="auto"/>
                            <w:rPr>
                              <w:sz w:val="28"/>
                              <w:szCs w:val="28"/>
                            </w:rPr>
                          </w:pPr>
                          <w:r>
                            <w:rPr>
                              <w:sz w:val="28"/>
                              <w:szCs w:val="28"/>
                              <w:lang w:val="en-US" w:eastAsia="en-US" w:bidi="en-US"/>
                            </w:rPr>
                            <w:t>-</w:t>
                          </w:r>
                          <w:r>
                            <w:fldChar w:fldCharType="begin"/>
                          </w:r>
                          <w:r>
                            <w:instrText xml:space="preserve"> PAGE \* MERGEFORMAT </w:instrText>
                          </w:r>
                          <w:r>
                            <w:fldChar w:fldCharType="separate"/>
                          </w:r>
                          <w:r w:rsidR="00E2422D" w:rsidRPr="00E2422D">
                            <w:rPr>
                              <w:noProof/>
                              <w:sz w:val="28"/>
                              <w:szCs w:val="28"/>
                              <w:lang w:val="en-US" w:eastAsia="en-US" w:bidi="en-US"/>
                            </w:rPr>
                            <w:t>4</w:t>
                          </w:r>
                          <w:r>
                            <w:rPr>
                              <w:sz w:val="28"/>
                              <w:szCs w:val="28"/>
                              <w:lang w:val="en-US" w:eastAsia="en-US" w:bidi="en-US"/>
                            </w:rPr>
                            <w:fldChar w:fldCharType="end"/>
                          </w:r>
                          <w:r>
                            <w:rPr>
                              <w:sz w:val="28"/>
                              <w:szCs w:val="28"/>
                              <w:lang w:val="en-US" w:eastAsia="en-US" w:bidi="en-US"/>
                            </w:rPr>
                            <w:t xml:space="preserve"> </w:t>
                          </w:r>
                          <w:r>
                            <w:rPr>
                              <w:sz w:val="28"/>
                              <w:szCs w:val="28"/>
                            </w:rPr>
                            <w:t>-</w:t>
                          </w:r>
                        </w:p>
                      </w:txbxContent>
                    </wps:txbx>
                    <wps:bodyPr wrap="none" lIns="0" tIns="0" rIns="0" bIns="0">
                      <a:spAutoFit/>
                    </wps:bodyPr>
                  </wps:wsp>
                </a:graphicData>
              </a:graphic>
            </wp:anchor>
          </w:drawing>
        </mc:Choice>
        <mc:Fallback>
          <w:pict>
            <v:shapetype w14:anchorId="7FFC88F0" id="_x0000_t202" coordsize="21600,21600" o:spt="202" path="m,l,21600r21600,l21600,xe">
              <v:stroke joinstyle="miter"/>
              <v:path gradientshapeok="t" o:connecttype="rect"/>
            </v:shapetype>
            <v:shape id="Shape 2" o:spid="_x0000_s1027" type="#_x0000_t202" style="position:absolute;left:0;text-align:left;margin-left:284.55pt;margin-top:755.15pt;width:22.55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" filled="f" stroked="f">
              <v:textbox style="mso-fit-shape-to-text:t" inset="0,0,0,0">
                <w:txbxContent>
                  <w:p w:rsidR="00FF5ABC" w:rsidRDefault="00FF5ABC">
                    <w:pPr>
                      <w:pStyle w:val="20"/>
                      <w:shd w:val="clear" w:color="auto" w:fill="auto"/>
                      <w:rPr>
                        <w:sz w:val="28"/>
                        <w:szCs w:val="28"/>
                      </w:rPr>
                    </w:pPr>
                    <w:r>
                      <w:rPr>
                        <w:sz w:val="28"/>
                        <w:szCs w:val="28"/>
                        <w:lang w:val="en-US" w:eastAsia="en-US" w:bidi="en-US"/>
                      </w:rPr>
                      <w:t>-</w:t>
                    </w:r>
                    <w:r>
                      <w:fldChar w:fldCharType="begin"/>
                    </w:r>
                    <w:r>
                      <w:instrText xml:space="preserve"> PAGE \* MERGEFORMAT </w:instrText>
                    </w:r>
                    <w:r>
                      <w:fldChar w:fldCharType="separate"/>
                    </w:r>
                    <w:r w:rsidR="00E2422D" w:rsidRPr="00E2422D">
                      <w:rPr>
                        <w:noProof/>
                        <w:sz w:val="28"/>
                        <w:szCs w:val="28"/>
                        <w:lang w:val="en-US" w:eastAsia="en-US" w:bidi="en-US"/>
                      </w:rPr>
                      <w:t>4</w:t>
                    </w:r>
                    <w:r>
                      <w:rPr>
                        <w:sz w:val="28"/>
                        <w:szCs w:val="28"/>
                        <w:lang w:val="en-US" w:eastAsia="en-US" w:bidi="en-US"/>
                      </w:rPr>
                      <w:fldChar w:fldCharType="end"/>
                    </w:r>
                    <w:r>
                      <w:rPr>
                        <w:sz w:val="28"/>
                        <w:szCs w:val="28"/>
                        <w:lang w:val="en-US" w:eastAsia="en-US" w:bidi="en-US"/>
                      </w:rPr>
                      <w:t xml:space="preserve"> </w:t>
                    </w:r>
                    <w:r>
                      <w:rPr>
                        <w:sz w:val="28"/>
                        <w:szCs w:val="2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BC" w:rsidRDefault="00FF5ABC">
    <w:pPr>
      <w:spacing w:line="1" w:lineRule="exact"/>
    </w:pPr>
    <w:r>
      <w:rPr>
        <w:noProof/>
      </w:rPr>
      <mc:AlternateContent>
        <mc:Choice Requires="wps">
          <w:drawing>
            <wp:anchor distT="0" distB="0" distL="0" distR="0" simplePos="0" relativeHeight="251661312" behindDoc="1" locked="0" layoutInCell="1" allowOverlap="1" wp14:anchorId="23899052" wp14:editId="6F72567A">
              <wp:simplePos x="0" y="0"/>
              <wp:positionH relativeFrom="page">
                <wp:posOffset>3524885</wp:posOffset>
              </wp:positionH>
              <wp:positionV relativeFrom="page">
                <wp:posOffset>9601200</wp:posOffset>
              </wp:positionV>
              <wp:extent cx="433070" cy="121920"/>
              <wp:effectExtent l="0" t="0" r="0" b="0"/>
              <wp:wrapNone/>
              <wp:docPr id="6" name="Shape 6"/>
              <wp:cNvGraphicFramePr/>
              <a:graphic xmlns:a="http://schemas.openxmlformats.org/drawingml/2006/main">
                <a:graphicData uri="http://schemas.microsoft.com/office/word/2010/wordprocessingShape">
                  <wps:wsp>
                    <wps:cNvSpPr txBox="1"/>
                    <wps:spPr>
                      <a:xfrm>
                        <a:off x="0" y="0"/>
                        <a:ext cx="433070" cy="121920"/>
                      </a:xfrm>
                      <a:prstGeom prst="rect">
                        <a:avLst/>
                      </a:prstGeom>
                      <a:noFill/>
                    </wps:spPr>
                    <wps:txbx>
                      <w:txbxContent>
                        <w:p w:rsidR="00FF5ABC" w:rsidRDefault="00FF5ABC">
                          <w:pPr>
                            <w:pStyle w:val="20"/>
                            <w:shd w:val="clear" w:color="auto" w:fill="auto"/>
                            <w:rPr>
                              <w:sz w:val="28"/>
                              <w:szCs w:val="28"/>
                            </w:rPr>
                          </w:pPr>
                          <w:proofErr w:type="gramStart"/>
                          <w:r>
                            <w:rPr>
                              <w:rFonts w:ascii="MingLiU" w:eastAsia="MingLiU" w:hAnsi="MingLiU" w:cs="MingLiU"/>
                            </w:rPr>
                            <w:t>一</w:t>
                          </w:r>
                          <w:proofErr w:type="gramEnd"/>
                          <w:r>
                            <w:rPr>
                              <w:rFonts w:ascii="MingLiU" w:eastAsia="MingLiU" w:hAnsi="MingLiU" w:cs="MingLiU"/>
                            </w:rPr>
                            <w:t xml:space="preserve"> </w:t>
                          </w:r>
                          <w:r>
                            <w:fldChar w:fldCharType="begin"/>
                          </w:r>
                          <w:r>
                            <w:instrText xml:space="preserve"> PAGE \* MERGEFORMAT </w:instrText>
                          </w:r>
                          <w:r>
                            <w:fldChar w:fldCharType="separate"/>
                          </w:r>
                          <w:r w:rsidR="00E2422D" w:rsidRPr="00E2422D">
                            <w:rPr>
                              <w:noProof/>
                              <w:sz w:val="28"/>
                              <w:szCs w:val="28"/>
                            </w:rPr>
                            <w:t>1</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type w14:anchorId="23899052" id="_x0000_t202" coordsize="21600,21600" o:spt="202" path="m,l,21600r21600,l21600,xe">
              <v:stroke joinstyle="miter"/>
              <v:path gradientshapeok="t" o:connecttype="rect"/>
            </v:shapetype>
            <v:shape id="Shape 6" o:spid="_x0000_s1028" type="#_x0000_t202" style="position:absolute;left:0;text-align:left;margin-left:277.55pt;margin-top:756pt;width:34.1pt;height:9.6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" filled="f" stroked="f">
              <v:textbox style="mso-fit-shape-to-text:t" inset="0,0,0,0">
                <w:txbxContent>
                  <w:p w:rsidR="00FF5ABC" w:rsidRDefault="00FF5ABC">
                    <w:pPr>
                      <w:pStyle w:val="20"/>
                      <w:shd w:val="clear" w:color="auto" w:fill="auto"/>
                      <w:rPr>
                        <w:sz w:val="28"/>
                        <w:szCs w:val="28"/>
                      </w:rPr>
                    </w:pPr>
                    <w:proofErr w:type="gramStart"/>
                    <w:r>
                      <w:rPr>
                        <w:rFonts w:ascii="MingLiU" w:eastAsia="MingLiU" w:hAnsi="MingLiU" w:cs="MingLiU"/>
                      </w:rPr>
                      <w:t>一</w:t>
                    </w:r>
                    <w:proofErr w:type="gramEnd"/>
                    <w:r>
                      <w:rPr>
                        <w:rFonts w:ascii="MingLiU" w:eastAsia="MingLiU" w:hAnsi="MingLiU" w:cs="MingLiU"/>
                      </w:rPr>
                      <w:t xml:space="preserve"> </w:t>
                    </w:r>
                    <w:r>
                      <w:fldChar w:fldCharType="begin"/>
                    </w:r>
                    <w:r>
                      <w:instrText xml:space="preserve"> PAGE \* MERGEFORMAT </w:instrText>
                    </w:r>
                    <w:r>
                      <w:fldChar w:fldCharType="separate"/>
                    </w:r>
                    <w:r w:rsidR="00E2422D" w:rsidRPr="00E2422D">
                      <w:rPr>
                        <w:noProof/>
                        <w:sz w:val="28"/>
                        <w:szCs w:val="28"/>
                      </w:rPr>
                      <w:t>1</w:t>
                    </w:r>
                    <w:r>
                      <w:rPr>
                        <w:sz w:val="28"/>
                        <w:szCs w:val="28"/>
                      </w:rPr>
                      <w:fldChar w:fldCharType="end"/>
                    </w:r>
                    <w:r>
                      <w:rPr>
                        <w:sz w:val="28"/>
                        <w:szCs w:val="2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EB" w:rsidRDefault="00E358EB" w:rsidP="00FF5ABC">
      <w:r>
        <w:separator/>
      </w:r>
    </w:p>
  </w:footnote>
  <w:footnote w:type="continuationSeparator" w:id="0">
    <w:p w:rsidR="00E358EB" w:rsidRDefault="00E358EB" w:rsidP="00FF5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5E"/>
    <w:rsid w:val="002C53A9"/>
    <w:rsid w:val="003C635B"/>
    <w:rsid w:val="00632C5E"/>
    <w:rsid w:val="00A21D54"/>
    <w:rsid w:val="00E2422D"/>
    <w:rsid w:val="00E358EB"/>
    <w:rsid w:val="00E41BAE"/>
    <w:rsid w:val="00FF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3878E"/>
  <w15:chartTrackingRefBased/>
  <w15:docId w15:val="{7DD4BE09-7DCE-4BE7-A634-02AD3EA3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A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5ABC"/>
    <w:rPr>
      <w:sz w:val="18"/>
      <w:szCs w:val="18"/>
    </w:rPr>
  </w:style>
  <w:style w:type="paragraph" w:styleId="a5">
    <w:name w:val="footer"/>
    <w:basedOn w:val="a"/>
    <w:link w:val="a6"/>
    <w:uiPriority w:val="99"/>
    <w:unhideWhenUsed/>
    <w:rsid w:val="00FF5ABC"/>
    <w:pPr>
      <w:tabs>
        <w:tab w:val="center" w:pos="4153"/>
        <w:tab w:val="right" w:pos="8306"/>
      </w:tabs>
      <w:snapToGrid w:val="0"/>
      <w:jc w:val="left"/>
    </w:pPr>
    <w:rPr>
      <w:sz w:val="18"/>
      <w:szCs w:val="18"/>
    </w:rPr>
  </w:style>
  <w:style w:type="character" w:customStyle="1" w:styleId="a6">
    <w:name w:val="页脚 字符"/>
    <w:basedOn w:val="a0"/>
    <w:link w:val="a5"/>
    <w:uiPriority w:val="99"/>
    <w:rsid w:val="00FF5ABC"/>
    <w:rPr>
      <w:sz w:val="18"/>
      <w:szCs w:val="18"/>
    </w:rPr>
  </w:style>
  <w:style w:type="character" w:customStyle="1" w:styleId="a7">
    <w:name w:val="正文文本_"/>
    <w:basedOn w:val="a0"/>
    <w:link w:val="1"/>
    <w:rsid w:val="00FF5ABC"/>
    <w:rPr>
      <w:rFonts w:ascii="MingLiU" w:eastAsia="MingLiU" w:hAnsi="MingLiU" w:cs="MingLiU"/>
      <w:sz w:val="30"/>
      <w:szCs w:val="30"/>
      <w:shd w:val="clear" w:color="auto" w:fill="FFFFFF"/>
      <w:lang w:val="zh-CN" w:bidi="zh-CN"/>
    </w:rPr>
  </w:style>
  <w:style w:type="paragraph" w:customStyle="1" w:styleId="1">
    <w:name w:val="正文文本1"/>
    <w:basedOn w:val="a"/>
    <w:link w:val="a7"/>
    <w:rsid w:val="00FF5ABC"/>
    <w:pPr>
      <w:shd w:val="clear" w:color="auto" w:fill="FFFFFF"/>
      <w:spacing w:line="377" w:lineRule="auto"/>
      <w:ind w:firstLine="400"/>
      <w:jc w:val="left"/>
    </w:pPr>
    <w:rPr>
      <w:rFonts w:ascii="MingLiU" w:eastAsia="MingLiU" w:hAnsi="MingLiU" w:cs="MingLiU"/>
      <w:sz w:val="30"/>
      <w:szCs w:val="30"/>
      <w:lang w:val="zh-CN" w:bidi="zh-CN"/>
    </w:rPr>
  </w:style>
  <w:style w:type="character" w:customStyle="1" w:styleId="2">
    <w:name w:val="页眉或页脚 (2)_"/>
    <w:basedOn w:val="a0"/>
    <w:link w:val="20"/>
    <w:rsid w:val="00FF5ABC"/>
    <w:rPr>
      <w:rFonts w:ascii="Times New Roman" w:eastAsia="Times New Roman" w:hAnsi="Times New Roman" w:cs="Times New Roman"/>
      <w:sz w:val="20"/>
      <w:szCs w:val="20"/>
      <w:shd w:val="clear" w:color="auto" w:fill="FFFFFF"/>
      <w:lang w:val="zh-CN" w:bidi="zh-CN"/>
    </w:rPr>
  </w:style>
  <w:style w:type="paragraph" w:customStyle="1" w:styleId="20">
    <w:name w:val="页眉或页脚 (2)"/>
    <w:basedOn w:val="a"/>
    <w:link w:val="2"/>
    <w:rsid w:val="00FF5ABC"/>
    <w:pPr>
      <w:shd w:val="clear" w:color="auto" w:fill="FFFFFF"/>
      <w:jc w:val="left"/>
    </w:pPr>
    <w:rPr>
      <w:rFonts w:ascii="Times New Roman" w:eastAsia="Times New Roman" w:hAnsi="Times New Roman" w:cs="Times New Roman"/>
      <w:sz w:val="20"/>
      <w:szCs w:val="2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348</Words>
  <Characters>1987</Characters>
  <Application>Microsoft Office Word</Application>
  <DocSecurity>0</DocSecurity>
  <Lines>16</Lines>
  <Paragraphs>4</Paragraphs>
  <ScaleCrop>false</ScaleCrop>
  <Company>Sky123.Org</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2022-05-20T09:26:00Z</dcterms:created>
  <dcterms:modified xsi:type="dcterms:W3CDTF">2022-05-20T09:36:00Z</dcterms:modified>
</cp:coreProperties>
</file>