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406" w:rsidRDefault="009622A8">
      <w:pPr>
        <w:spacing w:line="940" w:lineRule="exact"/>
        <w:jc w:val="distribute"/>
        <w:rPr>
          <w:rFonts w:ascii="方正小标宋_GBK" w:eastAsia="方正小标宋_GBK" w:hAnsi="文星标宋"/>
          <w:sz w:val="44"/>
          <w:szCs w:val="44"/>
        </w:rPr>
      </w:pPr>
      <w:r>
        <w:rPr>
          <w:rFonts w:eastAsia="仿宋"/>
          <w:noProof/>
          <w:sz w:val="32"/>
        </w:rPr>
        <mc:AlternateContent>
          <mc:Choice Requires="wps">
            <w:drawing>
              <wp:anchor distT="0" distB="0" distL="114300" distR="114300" simplePos="0" relativeHeight="251660288" behindDoc="0" locked="0" layoutInCell="1" allowOverlap="1">
                <wp:simplePos x="0" y="0"/>
                <wp:positionH relativeFrom="column">
                  <wp:posOffset>-254635</wp:posOffset>
                </wp:positionH>
                <wp:positionV relativeFrom="page">
                  <wp:posOffset>1981200</wp:posOffset>
                </wp:positionV>
                <wp:extent cx="6120130" cy="635"/>
                <wp:effectExtent l="0" t="0" r="0" b="0"/>
                <wp:wrapNone/>
                <wp:docPr id="145"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635"/>
                        </a:xfrm>
                        <a:prstGeom prst="line">
                          <a:avLst/>
                        </a:prstGeom>
                        <a:noFill/>
                        <a:ln w="12700" cap="flat" cmpd="sng">
                          <a:solidFill>
                            <a:srgbClr val="FF0000"/>
                          </a:solidFill>
                          <a:prstDash val="solid"/>
                          <a:round/>
                          <a:headEnd type="none" w="med" len="med"/>
                          <a:tailEnd type="none" w="med" len="med"/>
                        </a:ln>
                      </wps:spPr>
                      <wps:bodyPr/>
                    </wps:wsp>
                  </a:graphicData>
                </a:graphic>
              </wp:anchor>
            </w:drawing>
          </mc:Choice>
          <mc:Fallback>
            <w:pict>
              <v:line id="直接连接符 6" o:spid="_x0000_s1225" style="mso-height-relative:page;mso-position-vertical-relative:page;mso-width-relative:page;mso-wrap-distance-bottom:0;mso-wrap-distance-left:9pt;mso-wrap-distance-right:9pt;mso-wrap-distance-top:0;position:absolute;z-index:251660288" from="-20.05pt,156pt" to="461.85pt,156.05pt" coordsize="21600,21600" stroked="t" strokecolor="#f00" strokeweight="1pt">
                <v:stroke joinstyle="round" dashstyle="solid" linestyle="single" endcap="flat" startarrow="none" startarrowwidth="medium" startarrowlength="medium" endarrow="none" endarrowwidth="medium" endarrowlength="medium"/>
                <w10:bordertop type="single" width="8"/>
                <w10:borderleft type="single" width="8"/>
                <w10:borderbottom type="single" width="8"/>
                <w10:borderright type="single" width="8"/>
              </v:line>
            </w:pict>
          </mc:Fallback>
        </mc:AlternateContent>
      </w:r>
      <w:r>
        <w:rPr>
          <w:rFonts w:eastAsia="仿宋"/>
          <w:noProof/>
          <w:sz w:val="32"/>
        </w:rPr>
        <mc:AlternateContent>
          <mc:Choice Requires="wps">
            <w:drawing>
              <wp:anchor distT="0" distB="0" distL="114300" distR="114300" simplePos="0" relativeHeight="251659264" behindDoc="0" locked="0" layoutInCell="1" allowOverlap="1">
                <wp:simplePos x="0" y="0"/>
                <wp:positionH relativeFrom="column">
                  <wp:posOffset>-249555</wp:posOffset>
                </wp:positionH>
                <wp:positionV relativeFrom="page">
                  <wp:posOffset>1936115</wp:posOffset>
                </wp:positionV>
                <wp:extent cx="6120130" cy="635"/>
                <wp:effectExtent l="0" t="0" r="0" b="0"/>
                <wp:wrapNone/>
                <wp:docPr id="146"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635"/>
                        </a:xfrm>
                        <a:prstGeom prst="line">
                          <a:avLst/>
                        </a:prstGeom>
                        <a:noFill/>
                        <a:ln w="25400" cap="flat" cmpd="sng">
                          <a:solidFill>
                            <a:srgbClr val="FF0000"/>
                          </a:solidFill>
                          <a:prstDash val="solid"/>
                          <a:round/>
                          <a:headEnd type="none" w="med" len="med"/>
                          <a:tailEnd type="none" w="med" len="med"/>
                        </a:ln>
                      </wps:spPr>
                      <wps:bodyPr/>
                    </wps:wsp>
                  </a:graphicData>
                </a:graphic>
              </wp:anchor>
            </w:drawing>
          </mc:Choice>
          <mc:Fallback>
            <w:pict>
              <v:line id="直接连接符 8" o:spid="_x0000_s1226" style="mso-height-relative:page;mso-position-vertical-relative:page;mso-width-relative:page;mso-wrap-distance-bottom:0;mso-wrap-distance-left:9pt;mso-wrap-distance-right:9pt;mso-wrap-distance-top:0;position:absolute;z-index:251659264" from="-19.65pt,152.45pt" to="462.25pt,152.5pt" coordsize="21600,21600" stroked="t" strokecolor="#f00" strokeweight="2pt">
                <v:stroke joinstyle="round" dashstyle="solid" linestyle="single" endcap="flat" startarrow="none" startarrowwidth="medium" startarrowlength="medium" endarrow="none" endarrowwidth="medium" endarrowlength="medium"/>
                <w10:bordertop type="single" width="16"/>
                <w10:borderleft type="single" width="16"/>
                <w10:borderbottom type="single" width="16"/>
                <w10:borderright type="single" width="16"/>
              </v:line>
            </w:pict>
          </mc:Fallback>
        </mc:AlternateContent>
      </w:r>
      <w:r>
        <w:rPr>
          <w:rFonts w:eastAsia="仿宋"/>
          <w:noProof/>
          <w:sz w:val="32"/>
        </w:rPr>
        <mc:AlternateContent>
          <mc:Choice Requires="wps">
            <w:drawing>
              <wp:anchor distT="0" distB="0" distL="114300" distR="114300" simplePos="0" relativeHeight="251661312" behindDoc="0" locked="0" layoutInCell="1" allowOverlap="1">
                <wp:simplePos x="0" y="0"/>
                <wp:positionH relativeFrom="page">
                  <wp:posOffset>749300</wp:posOffset>
                </wp:positionH>
                <wp:positionV relativeFrom="page">
                  <wp:posOffset>9916795</wp:posOffset>
                </wp:positionV>
                <wp:extent cx="6119495" cy="635"/>
                <wp:effectExtent l="0" t="0" r="0" b="0"/>
                <wp:wrapTopAndBottom/>
                <wp:docPr id="14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635"/>
                        </a:xfrm>
                        <a:prstGeom prst="line">
                          <a:avLst/>
                        </a:prstGeom>
                        <a:noFill/>
                        <a:ln w="12700" cap="flat" cmpd="sng">
                          <a:solidFill>
                            <a:srgbClr val="FF0000"/>
                          </a:solidFill>
                          <a:prstDash val="solid"/>
                          <a:round/>
                          <a:headEnd type="none" w="med" len="med"/>
                          <a:tailEnd type="none" w="med" len="med"/>
                        </a:ln>
                      </wps:spPr>
                      <wps:bodyPr/>
                    </wps:wsp>
                  </a:graphicData>
                </a:graphic>
              </wp:anchor>
            </w:drawing>
          </mc:Choice>
          <mc:Fallback>
            <w:pict>
              <v:line id="直接连接符 7" o:spid="_x0000_s1227" style="mso-height-relative:page;mso-position-horizontal-relative:page;mso-position-vertical-relative:page;mso-width-relative:page;mso-wrap-distance-bottom:0;mso-wrap-distance-left:9pt;mso-wrap-distance-right:9pt;mso-wrap-distance-top:0;position:absolute;z-index:251661312" from="59pt,780.85pt" to="540.85pt,780.9pt" coordsize="21600,21600" stroked="t" strokecolor="#f00" strokeweight="1pt">
                <v:stroke joinstyle="round" dashstyle="solid" linestyle="single" endcap="flat" startarrow="none" startarrowwidth="medium" startarrowlength="medium" endarrow="none" endarrowwidth="medium" endarrowlength="medium"/>
                <w10:bordertop type="single" width="8"/>
                <w10:borderleft type="single" width="8"/>
                <w10:borderbottom type="single" width="8"/>
                <w10:borderright type="single" width="8"/>
              </v:line>
            </w:pict>
          </mc:Fallback>
        </mc:AlternateContent>
      </w:r>
      <w:r>
        <w:rPr>
          <w:rFonts w:eastAsia="仿宋"/>
          <w:noProof/>
          <w:sz w:val="32"/>
        </w:rPr>
        <mc:AlternateContent>
          <mc:Choice Requires="wps">
            <w:drawing>
              <wp:anchor distT="0" distB="0" distL="114300" distR="114300" simplePos="0" relativeHeight="251662336" behindDoc="0" locked="0" layoutInCell="1" allowOverlap="1">
                <wp:simplePos x="0" y="0"/>
                <wp:positionH relativeFrom="page">
                  <wp:posOffset>749300</wp:posOffset>
                </wp:positionH>
                <wp:positionV relativeFrom="page">
                  <wp:posOffset>9972040</wp:posOffset>
                </wp:positionV>
                <wp:extent cx="6119495" cy="635"/>
                <wp:effectExtent l="0" t="0" r="0" b="0"/>
                <wp:wrapTopAndBottom/>
                <wp:docPr id="148"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635"/>
                        </a:xfrm>
                        <a:prstGeom prst="line">
                          <a:avLst/>
                        </a:prstGeom>
                        <a:noFill/>
                        <a:ln w="25400" cap="flat" cmpd="sng">
                          <a:solidFill>
                            <a:srgbClr val="FF0000"/>
                          </a:solidFill>
                          <a:prstDash val="solid"/>
                          <a:round/>
                          <a:headEnd type="none" w="med" len="med"/>
                          <a:tailEnd type="none" w="med" len="med"/>
                        </a:ln>
                      </wps:spPr>
                      <wps:bodyPr/>
                    </wps:wsp>
                  </a:graphicData>
                </a:graphic>
              </wp:anchor>
            </w:drawing>
          </mc:Choice>
          <mc:Fallback>
            <w:pict>
              <v:line id="直接连接符 5" o:spid="_x0000_s1228" style="mso-height-relative:page;mso-position-horizontal-relative:page;mso-position-vertical-relative:page;mso-width-relative:page;mso-wrap-distance-bottom:0;mso-wrap-distance-left:9pt;mso-wrap-distance-right:9pt;mso-wrap-distance-top:0;position:absolute;z-index:251662336" from="59pt,785.2pt" to="540.85pt,785.25pt" coordsize="21600,21600" stroked="t" strokecolor="#f00" strokeweight="2pt">
                <v:stroke joinstyle="round" dashstyle="solid" linestyle="single" endcap="flat" startarrow="none" startarrowwidth="medium" startarrowlength="medium" endarrow="none" endarrowwidth="medium" endarrowlength="medium"/>
                <w10:bordertop type="single" width="16"/>
                <w10:borderleft type="single" width="16"/>
                <w10:borderbottom type="single" width="16"/>
                <w10:borderright type="single" width="16"/>
              </v:line>
            </w:pict>
          </mc:Fallback>
        </mc:AlternateContent>
      </w:r>
      <w:r>
        <w:rPr>
          <w:rFonts w:ascii="方正小标宋_GBK" w:eastAsia="方正小标宋_GBK" w:hAnsi="方正小标宋_GBK" w:cs="方正小标宋_GBK" w:hint="eastAsia"/>
          <w:color w:val="FF0000"/>
          <w:spacing w:val="-34"/>
          <w:kern w:val="0"/>
          <w:sz w:val="80"/>
          <w:szCs w:val="80"/>
        </w:rPr>
        <w:t>青岛市科学技术局</w:t>
      </w:r>
    </w:p>
    <w:p w:rsidR="00F40406" w:rsidRDefault="00F40406">
      <w:pPr>
        <w:widowControl w:val="0"/>
        <w:rPr>
          <w:rFonts w:ascii="方正小标宋_GBK" w:eastAsia="方正小标宋_GBK" w:hAnsi="方正小标宋_GBK" w:cs="方正小标宋_GBK"/>
          <w:sz w:val="44"/>
          <w:szCs w:val="44"/>
        </w:rPr>
      </w:pPr>
    </w:p>
    <w:p w:rsidR="00F40406" w:rsidRDefault="009622A8">
      <w:pPr>
        <w:widowControl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关于组织申报</w:t>
      </w:r>
      <w:r>
        <w:rPr>
          <w:rFonts w:ascii="方正小标宋_GBK" w:eastAsia="方正小标宋_GBK" w:hAnsi="方正小标宋_GBK" w:cs="方正小标宋_GBK" w:hint="eastAsia"/>
          <w:sz w:val="44"/>
          <w:szCs w:val="44"/>
        </w:rPr>
        <w:t>2025</w:t>
      </w:r>
      <w:r>
        <w:rPr>
          <w:rFonts w:ascii="方正小标宋_GBK" w:eastAsia="方正小标宋_GBK" w:hAnsi="方正小标宋_GBK" w:cs="方正小标宋_GBK" w:hint="eastAsia"/>
          <w:sz w:val="44"/>
          <w:szCs w:val="44"/>
        </w:rPr>
        <w:t>年青岛市自然科学基金</w:t>
      </w:r>
    </w:p>
    <w:p w:rsidR="00F40406" w:rsidRDefault="009622A8">
      <w:pPr>
        <w:widowControl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重点项目的通知</w:t>
      </w:r>
    </w:p>
    <w:p w:rsidR="00F40406" w:rsidRDefault="00F40406">
      <w:pPr>
        <w:widowControl w:val="0"/>
        <w:rPr>
          <w:rFonts w:ascii="仿宋_GB2312" w:eastAsia="仿宋_GB2312" w:hAnsi="Times New Roman" w:cs="Times New Roman"/>
          <w:sz w:val="32"/>
          <w:szCs w:val="32"/>
        </w:rPr>
      </w:pP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各区（市、功能区）科技主管部门，各有关部门和单位：</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按照《青岛市科技计划项目管理办法》（青科规〔</w:t>
      </w:r>
      <w:r>
        <w:rPr>
          <w:rFonts w:ascii="仿宋_GB2312" w:eastAsia="仿宋_GB2312" w:hAnsi="Times New Roman" w:cs="Times New Roman" w:hint="eastAsia"/>
          <w:sz w:val="32"/>
          <w:szCs w:val="32"/>
        </w:rPr>
        <w:t>2021</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16</w:t>
      </w:r>
      <w:r>
        <w:rPr>
          <w:rFonts w:ascii="仿宋_GB2312" w:eastAsia="仿宋_GB2312" w:hAnsi="Times New Roman" w:cs="Times New Roman" w:hint="eastAsia"/>
          <w:sz w:val="32"/>
          <w:szCs w:val="32"/>
        </w:rPr>
        <w:t>号）、《青岛市科学技术专项资金管理办法》（青财科教〔</w:t>
      </w:r>
      <w:r>
        <w:rPr>
          <w:rFonts w:ascii="仿宋_GB2312" w:eastAsia="仿宋_GB2312" w:hAnsi="Times New Roman" w:cs="Times New Roman" w:hint="eastAsia"/>
          <w:sz w:val="32"/>
          <w:szCs w:val="32"/>
        </w:rPr>
        <w:t>2024</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19</w:t>
      </w:r>
      <w:r>
        <w:rPr>
          <w:rFonts w:ascii="仿宋_GB2312" w:eastAsia="仿宋_GB2312" w:hAnsi="Times New Roman" w:cs="Times New Roman" w:hint="eastAsia"/>
          <w:sz w:val="32"/>
          <w:szCs w:val="32"/>
        </w:rPr>
        <w:t>号）、《青岛市自然科学基金项目管理办法》（青科规〔</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号）有关要求，为加快推进科技强市建设，提升我市基础研究水平和原始创新能力，结合我市产业布局，现启动</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年市自然科学基金重点项目申报，有关事项通知如下：</w:t>
      </w:r>
    </w:p>
    <w:p w:rsidR="00F40406" w:rsidRDefault="009622A8">
      <w:pPr>
        <w:widowControl w:val="0"/>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一、研究方向</w:t>
      </w:r>
    </w:p>
    <w:p w:rsidR="00F40406" w:rsidRDefault="009622A8">
      <w:pPr>
        <w:widowControl w:val="0"/>
        <w:ind w:firstLineChars="200" w:firstLine="640"/>
        <w:rPr>
          <w:rFonts w:ascii="仿宋_GB2312" w:eastAsia="仿宋_GB2312" w:hAnsi="Times New Roman" w:cs="Times New Roman"/>
          <w:sz w:val="32"/>
          <w:szCs w:val="32"/>
        </w:rPr>
      </w:pPr>
      <w:r>
        <w:rPr>
          <w:rFonts w:ascii="仿宋_GB2312" w:eastAsia="仿宋_GB2312" w:hAnsi="仿宋_GB2312" w:cs="仿宋_GB2312" w:hint="eastAsia"/>
          <w:sz w:val="32"/>
          <w:szCs w:val="32"/>
        </w:rPr>
        <w:t>重点项目主要支持具有较强创新实力的科技人员及团队，聚焦我市</w:t>
      </w:r>
      <w:r>
        <w:rPr>
          <w:rFonts w:ascii="仿宋_GB2312" w:eastAsia="仿宋_GB2312" w:hAnsi="仿宋_GB2312" w:cs="仿宋_GB2312" w:hint="eastAsia"/>
          <w:sz w:val="32"/>
          <w:szCs w:val="32"/>
        </w:rPr>
        <w:t>10+1</w:t>
      </w:r>
      <w:r>
        <w:rPr>
          <w:rFonts w:ascii="仿宋_GB2312" w:eastAsia="仿宋_GB2312" w:hAnsi="仿宋_GB2312" w:cs="仿宋_GB2312" w:hint="eastAsia"/>
          <w:sz w:val="32"/>
          <w:szCs w:val="32"/>
        </w:rPr>
        <w:t>创新型产业体系和赛道中的重大科学问题和关键共性技术难题，开展深入、系统的创新研究，促进我市优势学科发展，推动符合我市战略需求或科学前沿的重要领域取得突破。具体研究方向见附件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Times New Roman" w:cs="Times New Roman" w:hint="eastAsia"/>
          <w:sz w:val="32"/>
          <w:szCs w:val="32"/>
        </w:rPr>
        <w:t xml:space="preserve">      </w:t>
      </w:r>
    </w:p>
    <w:p w:rsidR="00F40406" w:rsidRDefault="009622A8">
      <w:pPr>
        <w:widowControl w:val="0"/>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二、申报条件</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申报项目须符合上述研究方向，同时还须满足以下条件：</w:t>
      </w:r>
    </w:p>
    <w:p w:rsidR="00F40406" w:rsidRDefault="009622A8">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（一）申报单位须为在青岛依法注册、具有独立法人资格的企业、高等学校、科研院所和新型研发机构，有较强的科研能力</w:t>
      </w:r>
      <w:r>
        <w:rPr>
          <w:rFonts w:ascii="仿宋_GB2312" w:eastAsia="仿宋_GB2312" w:hAnsi="Times New Roman" w:cs="Times New Roman" w:hint="eastAsia"/>
          <w:sz w:val="32"/>
          <w:szCs w:val="32"/>
        </w:rPr>
        <w:lastRenderedPageBreak/>
        <w:t>和基础条件，管理运行规范。重点支持市级及以上重点实验室、技术创新</w:t>
      </w:r>
      <w:r>
        <w:rPr>
          <w:rFonts w:ascii="仿宋_GB2312" w:eastAsia="仿宋_GB2312" w:hAnsi="Times New Roman" w:cs="Times New Roman" w:hint="eastAsia"/>
          <w:sz w:val="32"/>
          <w:szCs w:val="32"/>
        </w:rPr>
        <w:t>中心等平台依托单位申报。</w:t>
      </w:r>
    </w:p>
    <w:p w:rsidR="00F40406" w:rsidRDefault="009622A8">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（二）申请人应为正式受聘于申报单位的在岗人员，科研信用记录良好，年龄原则上</w:t>
      </w:r>
      <w:r w:rsidRPr="00092451">
        <w:rPr>
          <w:rFonts w:ascii="仿宋_GB2312" w:eastAsia="仿宋_GB2312" w:hAnsi="Times New Roman" w:cs="Times New Roman" w:hint="eastAsia"/>
          <w:b/>
          <w:color w:val="FF0000"/>
          <w:sz w:val="32"/>
          <w:szCs w:val="32"/>
        </w:rPr>
        <w:t>不超过</w:t>
      </w:r>
      <w:r w:rsidRPr="00092451">
        <w:rPr>
          <w:rFonts w:ascii="仿宋_GB2312" w:eastAsia="仿宋_GB2312" w:hAnsi="Times New Roman" w:cs="Times New Roman" w:hint="eastAsia"/>
          <w:b/>
          <w:color w:val="FF0000"/>
          <w:sz w:val="32"/>
          <w:szCs w:val="32"/>
        </w:rPr>
        <w:t>56</w:t>
      </w:r>
      <w:r w:rsidRPr="00092451">
        <w:rPr>
          <w:rFonts w:ascii="仿宋_GB2312" w:eastAsia="仿宋_GB2312" w:hAnsi="Times New Roman" w:cs="Times New Roman" w:hint="eastAsia"/>
          <w:b/>
          <w:color w:val="FF0000"/>
          <w:sz w:val="32"/>
          <w:szCs w:val="32"/>
        </w:rPr>
        <w:t>周岁</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1969</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月</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日及以后出生），聘任合同或协议期限须覆盖项目资助期；须是项目实际负责人，应具有领导和组织开展创新研究的能力，</w:t>
      </w:r>
      <w:r w:rsidRPr="00092451">
        <w:rPr>
          <w:rFonts w:ascii="仿宋_GB2312" w:eastAsia="仿宋_GB2312" w:hAnsi="Times New Roman" w:cs="Times New Roman" w:hint="eastAsia"/>
          <w:b/>
          <w:color w:val="FF0000"/>
          <w:sz w:val="32"/>
          <w:szCs w:val="32"/>
        </w:rPr>
        <w:t>具有高级专业技术职务（职称），</w:t>
      </w:r>
      <w:r w:rsidRPr="00092451">
        <w:rPr>
          <w:rFonts w:ascii="仿宋_GB2312" w:eastAsia="仿宋_GB2312" w:hAnsi="Times New Roman" w:cs="Times New Roman" w:hint="eastAsia"/>
          <w:b/>
          <w:color w:val="FF0000"/>
          <w:sz w:val="32"/>
          <w:szCs w:val="32"/>
        </w:rPr>
        <w:t>具有承担国家或省自然科学基金项目的经历（一般应承担国家或省自然科学基金项目</w:t>
      </w:r>
      <w:r w:rsidRPr="00092451">
        <w:rPr>
          <w:rFonts w:ascii="仿宋_GB2312" w:eastAsia="仿宋_GB2312" w:hAnsi="Times New Roman" w:cs="Times New Roman" w:hint="eastAsia"/>
          <w:b/>
          <w:color w:val="FF0000"/>
          <w:sz w:val="32"/>
          <w:szCs w:val="32"/>
        </w:rPr>
        <w:t>2</w:t>
      </w:r>
      <w:r w:rsidRPr="00092451">
        <w:rPr>
          <w:rFonts w:ascii="仿宋_GB2312" w:eastAsia="仿宋_GB2312" w:hAnsi="Times New Roman" w:cs="Times New Roman" w:hint="eastAsia"/>
          <w:b/>
          <w:color w:val="FF0000"/>
          <w:sz w:val="32"/>
          <w:szCs w:val="32"/>
        </w:rPr>
        <w:t>项或</w:t>
      </w:r>
      <w:r w:rsidRPr="00092451">
        <w:rPr>
          <w:rFonts w:ascii="仿宋_GB2312" w:eastAsia="仿宋_GB2312" w:hAnsi="Times New Roman" w:cs="Times New Roman" w:hint="eastAsia"/>
          <w:b/>
          <w:color w:val="FF0000"/>
          <w:sz w:val="32"/>
          <w:szCs w:val="32"/>
        </w:rPr>
        <w:t>100</w:t>
      </w:r>
      <w:r w:rsidRPr="00092451">
        <w:rPr>
          <w:rFonts w:ascii="仿宋_GB2312" w:eastAsia="仿宋_GB2312" w:hAnsi="Times New Roman" w:cs="Times New Roman" w:hint="eastAsia"/>
          <w:b/>
          <w:color w:val="FF0000"/>
          <w:sz w:val="32"/>
          <w:szCs w:val="32"/>
        </w:rPr>
        <w:t>万元以上项目</w:t>
      </w:r>
      <w:r w:rsidRPr="00092451">
        <w:rPr>
          <w:rFonts w:ascii="仿宋_GB2312" w:eastAsia="仿宋_GB2312" w:hAnsi="Times New Roman" w:cs="Times New Roman" w:hint="eastAsia"/>
          <w:b/>
          <w:color w:val="FF0000"/>
          <w:sz w:val="32"/>
          <w:szCs w:val="32"/>
        </w:rPr>
        <w:t>1</w:t>
      </w:r>
      <w:r w:rsidRPr="00092451">
        <w:rPr>
          <w:rFonts w:ascii="仿宋_GB2312" w:eastAsia="仿宋_GB2312" w:hAnsi="Times New Roman" w:cs="Times New Roman" w:hint="eastAsia"/>
          <w:b/>
          <w:color w:val="FF0000"/>
          <w:sz w:val="32"/>
          <w:szCs w:val="32"/>
        </w:rPr>
        <w:t>项）。有</w:t>
      </w:r>
      <w:r w:rsidRPr="00092451">
        <w:rPr>
          <w:rFonts w:ascii="仿宋_GB2312" w:eastAsia="仿宋_GB2312" w:hAnsi="Times New Roman" w:cs="Times New Roman" w:hint="eastAsia"/>
          <w:b/>
          <w:color w:val="FF0000"/>
          <w:sz w:val="32"/>
          <w:szCs w:val="32"/>
        </w:rPr>
        <w:t>2</w:t>
      </w:r>
      <w:r w:rsidRPr="00092451">
        <w:rPr>
          <w:rFonts w:ascii="仿宋_GB2312" w:eastAsia="仿宋_GB2312" w:hAnsi="Times New Roman" w:cs="Times New Roman" w:hint="eastAsia"/>
          <w:b/>
          <w:color w:val="FF0000"/>
          <w:sz w:val="32"/>
          <w:szCs w:val="32"/>
        </w:rPr>
        <w:t>项市在研科</w:t>
      </w:r>
      <w:r w:rsidRPr="00092451">
        <w:rPr>
          <w:rFonts w:ascii="仿宋_GB2312" w:eastAsia="仿宋_GB2312" w:hAnsi="Times New Roman" w:cs="Times New Roman" w:hint="eastAsia"/>
          <w:b/>
          <w:color w:val="FF0000"/>
          <w:sz w:val="32"/>
          <w:szCs w:val="32"/>
        </w:rPr>
        <w:t>技计划项目的负责人不得申报（正常参加</w:t>
      </w:r>
      <w:r w:rsidRPr="00092451">
        <w:rPr>
          <w:rFonts w:ascii="仿宋_GB2312" w:eastAsia="仿宋_GB2312" w:hAnsi="Times New Roman" w:cs="Times New Roman" w:hint="eastAsia"/>
          <w:b/>
          <w:color w:val="FF0000"/>
          <w:sz w:val="32"/>
          <w:szCs w:val="32"/>
        </w:rPr>
        <w:t>2024</w:t>
      </w:r>
      <w:r w:rsidRPr="00092451">
        <w:rPr>
          <w:rFonts w:ascii="仿宋_GB2312" w:eastAsia="仿宋_GB2312" w:hAnsi="Times New Roman" w:cs="Times New Roman" w:hint="eastAsia"/>
          <w:b/>
          <w:color w:val="FF0000"/>
          <w:sz w:val="32"/>
          <w:szCs w:val="32"/>
        </w:rPr>
        <w:t>年验收的项目除外）</w:t>
      </w:r>
      <w:r>
        <w:rPr>
          <w:rFonts w:ascii="仿宋_GB2312" w:eastAsia="仿宋_GB2312" w:hAnsi="Times New Roman" w:cs="Times New Roman" w:hint="eastAsia"/>
          <w:sz w:val="32"/>
          <w:szCs w:val="32"/>
        </w:rPr>
        <w:t>。参加过相关指南咨询论证的专家不得作为项目负责人或项目团队成</w:t>
      </w:r>
      <w:r>
        <w:rPr>
          <w:rFonts w:ascii="仿宋_GB2312" w:eastAsia="仿宋_GB2312" w:hAnsi="Times New Roman" w:cs="Times New Roman" w:hint="eastAsia"/>
          <w:sz w:val="32"/>
          <w:szCs w:val="32"/>
        </w:rPr>
        <w:t>员申报。鼓励青年科技人才参与申报。</w:t>
      </w:r>
    </w:p>
    <w:p w:rsidR="00F40406" w:rsidRDefault="009622A8">
      <w:pPr>
        <w:widowControl w:val="0"/>
        <w:rPr>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申请人为单位法定代表人的，可只提供单位营业执照或事业单位法人证书，和任</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聘期覆盖申请项目执行期的有关证明。</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事业单位项目申请人在岗是指在申报单位工作且与申报单位签订聘用合同，并由单位支付各项工资和社会保险等。证明材料包括但不限于：公开招聘人员备案通知书等文件，聘用合同、发放工资或缴纳社会保险等在岗证明。</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不按编制管理的非企业单位、新型研发机构等项目申请人应为申报单位聘用的全职在岗人员。证明材料包括但不限于：人才引进合同、聘任（用）合同</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协议</w:t>
      </w:r>
      <w:r>
        <w:rPr>
          <w:rFonts w:ascii="仿宋_GB2312" w:eastAsia="仿宋_GB2312" w:hAnsi="Times New Roman" w:cs="Times New Roman" w:hint="eastAsia"/>
          <w:sz w:val="32"/>
          <w:szCs w:val="32"/>
        </w:rPr>
        <w:t>等，和在青缴纳社会</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医疗保险证明、在青纳税证明等。</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 xml:space="preserve">    3.</w:t>
      </w:r>
      <w:r>
        <w:rPr>
          <w:rFonts w:ascii="仿宋_GB2312" w:eastAsia="仿宋_GB2312" w:hAnsi="Times New Roman" w:cs="Times New Roman" w:hint="eastAsia"/>
          <w:sz w:val="32"/>
          <w:szCs w:val="32"/>
        </w:rPr>
        <w:t>科技企业项目申请人应为依照《中华人民共和国劳动法》，与申报单位建立劳动合同关系的劳动者。证明材料包括但不限于：劳动合同和在申报单位缴纳社会保险证明等。</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以上相关证明材料报主管单位审核并存档备查</w:t>
      </w:r>
      <w:r>
        <w:rPr>
          <w:rFonts w:ascii="仿宋_GB2312" w:eastAsia="仿宋_GB2312" w:hAnsi="Times New Roman" w:cs="Times New Roman" w:hint="eastAsia"/>
          <w:sz w:val="32"/>
          <w:szCs w:val="32"/>
        </w:rPr>
        <w:t>，无须上传系统。</w:t>
      </w:r>
    </w:p>
    <w:p w:rsidR="00F40406" w:rsidRDefault="009622A8">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w:t>
      </w:r>
      <w:r w:rsidRPr="00092451">
        <w:rPr>
          <w:rFonts w:ascii="仿宋_GB2312" w:eastAsia="仿宋_GB2312" w:hAnsi="Times New Roman" w:cs="Times New Roman" w:hint="eastAsia"/>
          <w:b/>
          <w:color w:val="FF0000"/>
          <w:sz w:val="32"/>
          <w:szCs w:val="32"/>
        </w:rPr>
        <w:t>同一年度每位项目申请人限申请市自然基金项目</w:t>
      </w:r>
      <w:r w:rsidRPr="00092451">
        <w:rPr>
          <w:rFonts w:ascii="仿宋_GB2312" w:eastAsia="仿宋_GB2312" w:hAnsi="Times New Roman" w:cs="Times New Roman" w:hint="eastAsia"/>
          <w:b/>
          <w:color w:val="FF0000"/>
          <w:sz w:val="32"/>
          <w:szCs w:val="32"/>
        </w:rPr>
        <w:t>1</w:t>
      </w:r>
      <w:r w:rsidRPr="00092451">
        <w:rPr>
          <w:rFonts w:ascii="仿宋_GB2312" w:eastAsia="仿宋_GB2312" w:hAnsi="Times New Roman" w:cs="Times New Roman" w:hint="eastAsia"/>
          <w:b/>
          <w:color w:val="FF0000"/>
          <w:sz w:val="32"/>
          <w:szCs w:val="32"/>
        </w:rPr>
        <w:t>项（含其他批次项目类型）。有超过</w:t>
      </w:r>
      <w:r w:rsidRPr="00092451">
        <w:rPr>
          <w:rFonts w:ascii="仿宋_GB2312" w:eastAsia="仿宋_GB2312" w:hAnsi="Times New Roman" w:cs="Times New Roman" w:hint="eastAsia"/>
          <w:b/>
          <w:color w:val="FF0000"/>
          <w:sz w:val="32"/>
          <w:szCs w:val="32"/>
        </w:rPr>
        <w:t>2</w:t>
      </w:r>
      <w:r w:rsidRPr="00092451">
        <w:rPr>
          <w:rFonts w:ascii="仿宋_GB2312" w:eastAsia="仿宋_GB2312" w:hAnsi="Times New Roman" w:cs="Times New Roman" w:hint="eastAsia"/>
          <w:b/>
          <w:color w:val="FF0000"/>
          <w:sz w:val="32"/>
          <w:szCs w:val="32"/>
        </w:rPr>
        <w:t>项（不含</w:t>
      </w:r>
      <w:r w:rsidRPr="00092451">
        <w:rPr>
          <w:rFonts w:ascii="仿宋_GB2312" w:eastAsia="仿宋_GB2312" w:hAnsi="Times New Roman" w:cs="Times New Roman" w:hint="eastAsia"/>
          <w:b/>
          <w:color w:val="FF0000"/>
          <w:sz w:val="32"/>
          <w:szCs w:val="32"/>
        </w:rPr>
        <w:t>2</w:t>
      </w:r>
      <w:r w:rsidRPr="00092451">
        <w:rPr>
          <w:rFonts w:ascii="仿宋_GB2312" w:eastAsia="仿宋_GB2312" w:hAnsi="Times New Roman" w:cs="Times New Roman" w:hint="eastAsia"/>
          <w:b/>
          <w:color w:val="FF0000"/>
          <w:sz w:val="32"/>
          <w:szCs w:val="32"/>
        </w:rPr>
        <w:t>项）支持经费均为</w:t>
      </w:r>
      <w:r w:rsidRPr="00092451">
        <w:rPr>
          <w:rFonts w:ascii="仿宋_GB2312" w:eastAsia="仿宋_GB2312" w:hAnsi="Times New Roman" w:cs="Times New Roman" w:hint="eastAsia"/>
          <w:b/>
          <w:color w:val="FF0000"/>
          <w:sz w:val="32"/>
          <w:szCs w:val="32"/>
        </w:rPr>
        <w:t>100</w:t>
      </w:r>
      <w:r w:rsidRPr="00092451">
        <w:rPr>
          <w:rFonts w:ascii="仿宋_GB2312" w:eastAsia="仿宋_GB2312" w:hAnsi="Times New Roman" w:cs="Times New Roman" w:hint="eastAsia"/>
          <w:b/>
          <w:color w:val="FF0000"/>
          <w:sz w:val="32"/>
          <w:szCs w:val="32"/>
        </w:rPr>
        <w:t>万元及以上在研国家或省科技计划项目（含自然科学基金）的项目负责人不得申报</w:t>
      </w:r>
      <w:r>
        <w:rPr>
          <w:rFonts w:ascii="仿宋_GB2312" w:eastAsia="仿宋_GB2312" w:hAnsi="Times New Roman" w:cs="Times New Roman" w:hint="eastAsia"/>
          <w:sz w:val="32"/>
          <w:szCs w:val="32"/>
        </w:rPr>
        <w:t>。</w:t>
      </w:r>
    </w:p>
    <w:p w:rsidR="00F40406" w:rsidRDefault="009622A8">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已做出资助决定的国家、省自然科学基金项目视为在研项目。以下情形不视为在研项目：</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获得国家、省自然科学基金结题证明，包括国家自然基金委相关学部、省自然基金委办公室盖章的结题证明、通知或同意结题意见的；</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通知发布之前，属于正常结题范畴的，在国家或省自然科学基金系统中已完成结题报告提交，并经推荐单位审核通过的。</w:t>
      </w:r>
    </w:p>
    <w:p w:rsidR="00F40406" w:rsidRDefault="009622A8">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项目负责人不得在同一年将研究内容相同或相近的项目以不同项目类型、由不同申报人或经不同依托单位提出申请；不得将已获资助的项目重复提出申请。</w:t>
      </w:r>
    </w:p>
    <w:p w:rsidR="00F40406" w:rsidRDefault="009622A8">
      <w:pPr>
        <w:widowControl w:val="0"/>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在研项目情况、是否重复申请由申报单位负责审核；项目结题</w:t>
      </w:r>
      <w:r>
        <w:rPr>
          <w:rFonts w:ascii="仿宋_GB2312" w:eastAsia="仿宋_GB2312" w:hAnsi="Times New Roman" w:cs="Times New Roman" w:hint="eastAsia"/>
          <w:sz w:val="32"/>
          <w:szCs w:val="32"/>
        </w:rPr>
        <w:t>证明、系统报告提交证明等材料报主管单位审核并存档备查，无须上传系统。</w:t>
      </w:r>
      <w:r>
        <w:rPr>
          <w:rFonts w:ascii="仿宋_GB2312" w:eastAsia="仿宋_GB2312" w:hAnsi="Times New Roman" w:cs="Times New Roman" w:hint="eastAsia"/>
          <w:color w:val="FF0000"/>
          <w:sz w:val="32"/>
          <w:szCs w:val="32"/>
        </w:rPr>
        <w:t xml:space="preserve">    </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（四）申请人和申报单位须对申报材料的真实性、完整性、</w:t>
      </w:r>
      <w:r>
        <w:rPr>
          <w:rFonts w:ascii="仿宋_GB2312" w:eastAsia="仿宋_GB2312" w:hAnsi="Times New Roman" w:cs="Times New Roman" w:hint="eastAsia"/>
          <w:sz w:val="32"/>
          <w:szCs w:val="32"/>
        </w:rPr>
        <w:lastRenderedPageBreak/>
        <w:t>规范性和合法性负责。经发现申报材料存在弄虚作假等不实情况的，取消申请人和申报单位项目申报资格，并记入科研诚信档案。</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（五）</w:t>
      </w:r>
      <w:r>
        <w:rPr>
          <w:rFonts w:ascii="仿宋_GB2312" w:eastAsia="仿宋_GB2312" w:hAnsi="Times New Roman" w:cs="Times New Roman" w:hint="eastAsia"/>
          <w:sz w:val="32"/>
          <w:szCs w:val="32"/>
        </w:rPr>
        <w:t>鼓励项目申请单位配套出资或联合企业配套出资</w:t>
      </w:r>
      <w:r>
        <w:rPr>
          <w:rFonts w:ascii="仿宋_GB2312" w:eastAsia="仿宋_GB2312" w:hAnsi="Times New Roman" w:cs="Times New Roman" w:hint="eastAsia"/>
          <w:sz w:val="32"/>
          <w:szCs w:val="32"/>
        </w:rPr>
        <w:t>。</w:t>
      </w:r>
      <w:r w:rsidRPr="00092451">
        <w:rPr>
          <w:rFonts w:ascii="仿宋_GB2312" w:eastAsia="仿宋_GB2312" w:hAnsi="Times New Roman" w:cs="Times New Roman" w:hint="eastAsia"/>
          <w:b/>
          <w:sz w:val="32"/>
          <w:szCs w:val="32"/>
        </w:rPr>
        <w:t>项目参与人员与负责人不是同一单位的，参与人员所在单位视为合作研究单位。合作研究单位应</w:t>
      </w:r>
      <w:bookmarkStart w:id="0" w:name="_GoBack"/>
      <w:bookmarkEnd w:id="0"/>
      <w:r w:rsidRPr="00092451">
        <w:rPr>
          <w:rFonts w:ascii="仿宋_GB2312" w:eastAsia="仿宋_GB2312" w:hAnsi="Times New Roman" w:cs="Times New Roman" w:hint="eastAsia"/>
          <w:b/>
          <w:sz w:val="32"/>
          <w:szCs w:val="32"/>
        </w:rPr>
        <w:t>具备独立法人资格，数量不得超过</w:t>
      </w:r>
      <w:r w:rsidRPr="00092451">
        <w:rPr>
          <w:rFonts w:ascii="仿宋_GB2312" w:eastAsia="仿宋_GB2312" w:hAnsi="Times New Roman" w:cs="Times New Roman" w:hint="eastAsia"/>
          <w:b/>
          <w:sz w:val="32"/>
          <w:szCs w:val="32"/>
        </w:rPr>
        <w:t>2</w:t>
      </w:r>
      <w:r w:rsidRPr="00092451">
        <w:rPr>
          <w:rFonts w:ascii="仿宋_GB2312" w:eastAsia="仿宋_GB2312" w:hAnsi="Times New Roman" w:cs="Times New Roman" w:hint="eastAsia"/>
          <w:b/>
          <w:sz w:val="32"/>
          <w:szCs w:val="32"/>
        </w:rPr>
        <w:t>个。与所有合作单位签署联合申报协议，明确约定各自所承担的任务、目标、责任和经费（包括</w:t>
      </w:r>
      <w:r w:rsidRPr="00092451">
        <w:rPr>
          <w:rFonts w:ascii="仿宋_GB2312" w:eastAsia="仿宋_GB2312" w:hAnsi="Times New Roman" w:cs="Times New Roman" w:hint="eastAsia"/>
          <w:b/>
          <w:sz w:val="32"/>
          <w:szCs w:val="32"/>
        </w:rPr>
        <w:t>市拨财政资金和自筹经费等），协议应覆盖全部项目周期</w:t>
      </w:r>
      <w:r>
        <w:rPr>
          <w:rFonts w:ascii="仿宋_GB2312" w:eastAsia="仿宋_GB2312" w:hAnsi="Times New Roman" w:cs="Times New Roman" w:hint="eastAsia"/>
          <w:sz w:val="32"/>
          <w:szCs w:val="32"/>
        </w:rPr>
        <w:t>。</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（六）申报单位应按照国家、省、市相关要求，积极开发科研助理岗位，吸纳高校毕业生就业，并在项目申报材料中明确科研助理信息。</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（七）若申报项目涉及科技伦理、科技安全、保密等相关问题，申报单位和申请人须严格执行国家有关法律法规、伦理准则和保密要求。</w:t>
      </w:r>
    </w:p>
    <w:p w:rsidR="00F40406" w:rsidRDefault="009622A8">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（八）申报单位为科技统计调查纳统单位的，应提供</w:t>
      </w:r>
      <w:r>
        <w:rPr>
          <w:rFonts w:ascii="仿宋_GB2312" w:eastAsia="仿宋_GB2312" w:hAnsi="Times New Roman" w:cs="Times New Roman" w:hint="eastAsia"/>
          <w:sz w:val="32"/>
          <w:szCs w:val="32"/>
        </w:rPr>
        <w:t>2024</w:t>
      </w:r>
      <w:r>
        <w:rPr>
          <w:rFonts w:ascii="仿宋_GB2312" w:eastAsia="仿宋_GB2312" w:hAnsi="Times New Roman" w:cs="Times New Roman" w:hint="eastAsia"/>
          <w:sz w:val="32"/>
          <w:szCs w:val="32"/>
        </w:rPr>
        <w:t>年度科技研发统计报表（附件</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2024</w:t>
      </w:r>
      <w:r>
        <w:rPr>
          <w:rFonts w:ascii="仿宋_GB2312" w:eastAsia="仿宋_GB2312" w:hAnsi="Times New Roman" w:cs="Times New Roman" w:hint="eastAsia"/>
          <w:sz w:val="32"/>
          <w:szCs w:val="32"/>
        </w:rPr>
        <w:t>年度研发投入为零或纳统单位未按规定在统计系统填报的不得申报。</w:t>
      </w:r>
    </w:p>
    <w:p w:rsidR="00F40406" w:rsidRDefault="009622A8">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（九）申报单位为企业的，落实“绿色门槛”制度。按照《关于深入推进财政涉企资金“绿色门槛”制度的实施意见》（鲁财资环〔</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29</w:t>
      </w:r>
      <w:r>
        <w:rPr>
          <w:rFonts w:ascii="仿宋_GB2312" w:eastAsia="仿宋_GB2312" w:hAnsi="Times New Roman" w:cs="Times New Roman" w:hint="eastAsia"/>
          <w:sz w:val="32"/>
          <w:szCs w:val="32"/>
        </w:rPr>
        <w:t>号）要求，严格落实企业主体责任</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企业在申报项目时</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须对照“绿色门槛”制度进行自查</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并就是否符合制度要求做出书面承诺，填写《“绿色门槛”制度落实企业自查表》。</w:t>
      </w:r>
    </w:p>
    <w:p w:rsidR="00F40406" w:rsidRDefault="009622A8">
      <w:pPr>
        <w:widowControl w:val="0"/>
        <w:ind w:firstLineChars="200" w:firstLine="640"/>
        <w:rPr>
          <w:rFonts w:ascii="黑体" w:eastAsia="黑体" w:hAnsi="黑体"/>
          <w:sz w:val="32"/>
          <w:szCs w:val="32"/>
        </w:rPr>
      </w:pPr>
      <w:r>
        <w:rPr>
          <w:rFonts w:ascii="黑体" w:eastAsia="黑体" w:hAnsi="黑体" w:hint="eastAsia"/>
          <w:sz w:val="32"/>
          <w:szCs w:val="32"/>
        </w:rPr>
        <w:lastRenderedPageBreak/>
        <w:t>三、资金支持方式</w:t>
      </w:r>
    </w:p>
    <w:p w:rsidR="00F40406" w:rsidRDefault="009622A8">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（一）支持资金不超过</w:t>
      </w:r>
      <w:r>
        <w:rPr>
          <w:rFonts w:ascii="仿宋_GB2312" w:eastAsia="仿宋_GB2312" w:hAnsi="Times New Roman" w:cs="Times New Roman" w:hint="eastAsia"/>
          <w:sz w:val="32"/>
          <w:szCs w:val="32"/>
        </w:rPr>
        <w:t xml:space="preserve">100 </w:t>
      </w:r>
      <w:r>
        <w:rPr>
          <w:rFonts w:ascii="仿宋_GB2312" w:eastAsia="仿宋_GB2312" w:hAnsi="Times New Roman" w:cs="Times New Roman" w:hint="eastAsia"/>
          <w:sz w:val="32"/>
          <w:szCs w:val="32"/>
        </w:rPr>
        <w:t>万元</w:t>
      </w:r>
      <w:r>
        <w:rPr>
          <w:rFonts w:ascii="仿宋_GB2312" w:eastAsia="仿宋_GB2312" w:hAnsi="Times New Roman" w:cs="Times New Roman" w:hint="eastAsia"/>
          <w:sz w:val="32"/>
          <w:szCs w:val="32"/>
        </w:rPr>
        <w:t>,</w:t>
      </w:r>
      <w:r>
        <w:rPr>
          <w:rFonts w:ascii="仿宋_GB2312" w:eastAsia="仿宋_GB2312" w:hAnsi="仿宋_GB2312" w:cs="仿宋_GB2312" w:hint="eastAsia"/>
          <w:sz w:val="32"/>
          <w:szCs w:val="32"/>
        </w:rPr>
        <w:t>项目资助期限原则上不超过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支持资金</w:t>
      </w:r>
      <w:r>
        <w:rPr>
          <w:rFonts w:ascii="仿宋_GB2312" w:eastAsia="仿宋_GB2312" w:hAnsi="仿宋_GB2312" w:cs="仿宋_GB2312" w:hint="eastAsia"/>
          <w:sz w:val="32"/>
          <w:szCs w:val="32"/>
        </w:rPr>
        <w:t>分期拨付</w:t>
      </w:r>
      <w:r>
        <w:rPr>
          <w:rFonts w:ascii="仿宋_GB2312" w:eastAsia="仿宋_GB2312" w:hAnsi="Times New Roman" w:cs="Times New Roman" w:hint="eastAsia"/>
          <w:sz w:val="32"/>
          <w:szCs w:val="32"/>
        </w:rPr>
        <w:t>。</w:t>
      </w:r>
    </w:p>
    <w:p w:rsidR="00F40406" w:rsidRDefault="009622A8">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年项目数量和资金额度将根据年度市财政科技专项资金预算情况进行统筹安排。采取无偿资助（分期拨付）或里程碑节点考</w:t>
      </w:r>
      <w:r>
        <w:rPr>
          <w:rFonts w:ascii="仿宋_GB2312" w:eastAsia="仿宋_GB2312" w:hAnsi="Times New Roman" w:cs="Times New Roman" w:hint="eastAsia"/>
          <w:sz w:val="32"/>
          <w:szCs w:val="32"/>
        </w:rPr>
        <w:t>核结果等方式给予支持。</w:t>
      </w:r>
    </w:p>
    <w:p w:rsidR="00F40406" w:rsidRDefault="009622A8">
      <w:pPr>
        <w:widowControl w:val="0"/>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四、申报说明</w:t>
      </w:r>
    </w:p>
    <w:p w:rsidR="00F40406" w:rsidRDefault="009622A8">
      <w:pPr>
        <w:widowControl w:val="0"/>
        <w:rPr>
          <w:rFonts w:ascii="仿宋_GB2312" w:eastAsia="仿宋_GB2312" w:hAnsi="Times New Roman" w:cs="Times New Roman"/>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（一）申报渠道</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申请人在“青岛市科学技术局门户网站”</w:t>
      </w:r>
      <w:r>
        <w:rPr>
          <w:rFonts w:ascii="仿宋_GB2312" w:eastAsia="仿宋_GB2312" w:hAnsi="Times New Roman" w:cs="Times New Roman" w:hint="eastAsia"/>
          <w:sz w:val="32"/>
          <w:szCs w:val="32"/>
        </w:rPr>
        <w:t>https://qdkjj.qingdaokjjr.com:8082/portal/#/login</w:t>
      </w:r>
      <w:r>
        <w:rPr>
          <w:rFonts w:ascii="仿宋_GB2312" w:eastAsia="仿宋_GB2312" w:hAnsi="Times New Roman" w:cs="Times New Roman" w:hint="eastAsia"/>
          <w:sz w:val="32"/>
          <w:szCs w:val="32"/>
        </w:rPr>
        <w:t>（推荐使用谷歌浏览器、</w:t>
      </w:r>
      <w:r>
        <w:rPr>
          <w:rFonts w:ascii="仿宋_GB2312" w:eastAsia="仿宋_GB2312" w:hAnsi="Times New Roman" w:cs="Times New Roman" w:hint="eastAsia"/>
          <w:sz w:val="32"/>
          <w:szCs w:val="32"/>
        </w:rPr>
        <w:t>360</w:t>
      </w:r>
      <w:r>
        <w:rPr>
          <w:rFonts w:ascii="仿宋_GB2312" w:eastAsia="仿宋_GB2312" w:hAnsi="Times New Roman" w:cs="Times New Roman" w:hint="eastAsia"/>
          <w:sz w:val="32"/>
          <w:szCs w:val="32"/>
        </w:rPr>
        <w:t>浏览器）首页右上角，点击“登录”，进入系统申报。没有账号的，按个人或者单位注册流程进行注册，并及时联系申报单位、主管单位进行账号绑定审核。注册成功后，进入系统申报（推荐使用火狐、</w:t>
      </w:r>
      <w:r>
        <w:rPr>
          <w:rFonts w:ascii="仿宋_GB2312" w:eastAsia="仿宋_GB2312" w:hAnsi="Times New Roman" w:cs="Times New Roman" w:hint="eastAsia"/>
          <w:sz w:val="32"/>
          <w:szCs w:val="32"/>
        </w:rPr>
        <w:t>360</w:t>
      </w:r>
      <w:r>
        <w:rPr>
          <w:rFonts w:ascii="仿宋_GB2312" w:eastAsia="仿宋_GB2312" w:hAnsi="Times New Roman" w:cs="Times New Roman" w:hint="eastAsia"/>
          <w:sz w:val="32"/>
          <w:szCs w:val="32"/>
        </w:rPr>
        <w:t>、谷歌浏览器登录，请勿使用</w:t>
      </w:r>
      <w:r>
        <w:rPr>
          <w:rFonts w:ascii="仿宋_GB2312" w:eastAsia="仿宋_GB2312" w:hAnsi="Times New Roman" w:cs="Times New Roman" w:hint="eastAsia"/>
          <w:sz w:val="32"/>
          <w:szCs w:val="32"/>
        </w:rPr>
        <w:t>IE</w:t>
      </w:r>
      <w:r>
        <w:rPr>
          <w:rFonts w:ascii="仿宋_GB2312" w:eastAsia="仿宋_GB2312" w:hAnsi="Times New Roman" w:cs="Times New Roman" w:hint="eastAsia"/>
          <w:sz w:val="32"/>
          <w:szCs w:val="32"/>
        </w:rPr>
        <w:t>浏览器）。请妥善保存登录名和密码，以便随时进入系统查看项目申报和项目管理等情况。</w:t>
      </w:r>
      <w:r>
        <w:rPr>
          <w:rFonts w:ascii="仿宋_GB2312" w:eastAsia="仿宋_GB2312" w:hAnsi="Times New Roman" w:cs="Times New Roman" w:hint="eastAsia"/>
          <w:sz w:val="32"/>
          <w:szCs w:val="32"/>
        </w:rPr>
        <w:t xml:space="preserve">       </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登录后，在“科技</w:t>
      </w:r>
      <w:r>
        <w:rPr>
          <w:rFonts w:ascii="仿宋_GB2312" w:eastAsia="仿宋_GB2312" w:hAnsi="Times New Roman" w:cs="Times New Roman" w:hint="eastAsia"/>
          <w:sz w:val="32"/>
          <w:szCs w:val="32"/>
        </w:rPr>
        <w:t>计划项目”模块选择“申报指南”，通过“申报指南”，在“</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青岛市自然科学基金重点项目”栏，点击“申报”，进入“新建”对话框，点击“确定”，进入“申报材料”，在线填报并提交相关材料，申报材料要符合指南研究方向，须覆盖指南列出的全部研究内容、考核指标。项目名称根据研究方向和具体研究内容拟定，原则上不允许直接使用指南方向</w:t>
      </w:r>
      <w:r>
        <w:rPr>
          <w:rFonts w:ascii="仿宋_GB2312" w:eastAsia="仿宋_GB2312" w:hAnsi="Times New Roman" w:cs="Times New Roman" w:hint="eastAsia"/>
          <w:sz w:val="32"/>
          <w:szCs w:val="32"/>
        </w:rPr>
        <w:lastRenderedPageBreak/>
        <w:t>作为项目名称。项目申报材料将作为后续形式审查、项目评审的依据。</w:t>
      </w:r>
      <w:r>
        <w:rPr>
          <w:rFonts w:ascii="仿宋_GB2312" w:eastAsia="仿宋_GB2312" w:hAnsi="Times New Roman" w:cs="Times New Roman" w:hint="eastAsia"/>
          <w:sz w:val="32"/>
          <w:szCs w:val="32"/>
        </w:rPr>
        <w:t>在线填报绩效目标表，所填数据须与申报书中“研究方案”的预期成果指标一致</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若不一致，立项时以指标高的为准。</w:t>
      </w:r>
    </w:p>
    <w:p w:rsidR="00F40406" w:rsidRDefault="009622A8">
      <w:pPr>
        <w:widowControl w:val="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（二）申报及推</w:t>
      </w:r>
      <w:r>
        <w:rPr>
          <w:rFonts w:ascii="楷体_GB2312" w:eastAsia="楷体_GB2312" w:hAnsi="楷体_GB2312" w:cs="楷体_GB2312" w:hint="eastAsia"/>
          <w:sz w:val="32"/>
          <w:szCs w:val="32"/>
        </w:rPr>
        <w:t>荐材料</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按要求在线填写相关表单及上传附件材料。附件主要包括：</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青岛市科技计划项目申报诚信承诺书（项目申请人、申报单位分别上传）；</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《“绿色门槛”制度落实企业自查表》（仅企业）；</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3.</w:t>
      </w:r>
      <w:r>
        <w:rPr>
          <w:rFonts w:ascii="仿宋_GB2312" w:eastAsia="仿宋_GB2312" w:hAnsi="Times New Roman" w:cs="Times New Roman" w:hint="eastAsia"/>
          <w:sz w:val="32"/>
          <w:szCs w:val="32"/>
        </w:rPr>
        <w:t>《“绿色门槛”制度审查意见表》（仅推荐企业）；</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4.2025</w:t>
      </w:r>
      <w:r>
        <w:rPr>
          <w:rFonts w:ascii="仿宋_GB2312" w:eastAsia="仿宋_GB2312" w:hAnsi="Times New Roman" w:cs="Times New Roman" w:hint="eastAsia"/>
          <w:sz w:val="32"/>
          <w:szCs w:val="32"/>
        </w:rPr>
        <w:t>年青岛市自然科学基金项目申请人身份审核表（申报单位人事部门审核）；</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5.</w:t>
      </w:r>
      <w:r>
        <w:rPr>
          <w:rFonts w:ascii="仿宋_GB2312" w:eastAsia="仿宋_GB2312" w:hAnsi="Times New Roman" w:cs="Times New Roman" w:hint="eastAsia"/>
          <w:sz w:val="32"/>
          <w:szCs w:val="32"/>
        </w:rPr>
        <w:t>科技研发综合统计报表（仅科技研发统计调查纳统单位）；</w:t>
      </w:r>
      <w:r>
        <w:rPr>
          <w:rFonts w:ascii="仿宋_GB2312" w:eastAsia="仿宋_GB2312" w:hAnsi="Times New Roman" w:cs="Times New Roman" w:hint="eastAsia"/>
          <w:sz w:val="32"/>
          <w:szCs w:val="32"/>
        </w:rPr>
        <w:t xml:space="preserve"> </w:t>
      </w:r>
    </w:p>
    <w:p w:rsidR="00F40406" w:rsidRDefault="009622A8">
      <w:pPr>
        <w:widowControl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联合申报协议（仅有合作单位的申报单位上传）；</w:t>
      </w:r>
    </w:p>
    <w:p w:rsidR="00F40406" w:rsidRDefault="009622A8">
      <w:pPr>
        <w:widowControl w:val="0"/>
        <w:ind w:firstLineChars="200" w:firstLine="640"/>
        <w:rPr>
          <w:rFonts w:ascii="仿宋_GB2312" w:eastAsia="仿宋_GB2312" w:hAnsi="仿宋_GB2312" w:cs="仿宋_GB2312"/>
          <w:sz w:val="32"/>
          <w:szCs w:val="32"/>
        </w:rPr>
      </w:pPr>
      <w:r>
        <w:rPr>
          <w:rFonts w:ascii="仿宋_GB2312" w:eastAsia="仿宋_GB2312" w:hAnsi="Times New Roman" w:cs="Times New Roman" w:hint="eastAsia"/>
          <w:sz w:val="32"/>
          <w:szCs w:val="32"/>
        </w:rPr>
        <w:t>7.2025</w:t>
      </w:r>
      <w:r>
        <w:rPr>
          <w:rFonts w:ascii="仿宋_GB2312" w:eastAsia="仿宋_GB2312" w:hAnsi="Times New Roman" w:cs="Times New Roman" w:hint="eastAsia"/>
          <w:sz w:val="32"/>
          <w:szCs w:val="32"/>
        </w:rPr>
        <w:t>年青岛市自然科学基金项目</w:t>
      </w:r>
      <w:r>
        <w:rPr>
          <w:rFonts w:ascii="仿宋_GB2312" w:eastAsia="仿宋_GB2312" w:hAnsi="Times New Roman" w:cs="Times New Roman" w:hint="eastAsia"/>
          <w:sz w:val="32"/>
          <w:szCs w:val="32"/>
        </w:rPr>
        <w:t>申报推荐汇总表（主管单位上传）。</w:t>
      </w:r>
    </w:p>
    <w:p w:rsidR="00F40406" w:rsidRDefault="009622A8">
      <w:pPr>
        <w:widowControl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其中，附件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，从系统下载相应模板；附件</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须从科技部、教育部或国家统计局等相应国家报表统计平台导出；附件</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无固定模板，但须具有法律效力；附件</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由系统生成。</w:t>
      </w:r>
      <w:r>
        <w:rPr>
          <w:rFonts w:ascii="仿宋_GB2312" w:eastAsia="仿宋_GB2312" w:hAnsi="Times New Roman" w:cs="Times New Roman" w:hint="eastAsia"/>
          <w:sz w:val="32"/>
          <w:szCs w:val="32"/>
        </w:rPr>
        <w:t>需要签字、盖章的文件，均以</w:t>
      </w:r>
      <w:r>
        <w:rPr>
          <w:rFonts w:ascii="仿宋_GB2312" w:eastAsia="仿宋_GB2312" w:hAnsi="Times New Roman" w:cs="Times New Roman" w:hint="eastAsia"/>
          <w:sz w:val="32"/>
          <w:szCs w:val="32"/>
        </w:rPr>
        <w:t>PDF</w:t>
      </w:r>
      <w:r>
        <w:rPr>
          <w:rFonts w:ascii="仿宋_GB2312" w:eastAsia="仿宋_GB2312" w:hAnsi="Times New Roman" w:cs="Times New Roman" w:hint="eastAsia"/>
          <w:sz w:val="32"/>
          <w:szCs w:val="32"/>
        </w:rPr>
        <w:t>格式上传。同一用途的多页文件须制成一个</w:t>
      </w:r>
      <w:r>
        <w:rPr>
          <w:rFonts w:ascii="仿宋_GB2312" w:eastAsia="仿宋_GB2312" w:hAnsi="Times New Roman" w:cs="Times New Roman" w:hint="eastAsia"/>
          <w:sz w:val="32"/>
          <w:szCs w:val="32"/>
        </w:rPr>
        <w:t>PDF</w:t>
      </w:r>
      <w:r>
        <w:rPr>
          <w:rFonts w:ascii="仿宋_GB2312" w:eastAsia="仿宋_GB2312" w:hAnsi="Times New Roman" w:cs="Times New Roman" w:hint="eastAsia"/>
          <w:sz w:val="32"/>
          <w:szCs w:val="32"/>
        </w:rPr>
        <w:t>文件。</w:t>
      </w:r>
    </w:p>
    <w:p w:rsidR="00F40406" w:rsidRDefault="009622A8">
      <w:pPr>
        <w:widowControl w:val="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（三）受理时间</w:t>
      </w:r>
    </w:p>
    <w:p w:rsidR="00F40406" w:rsidRDefault="009622A8">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申报期：</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11</w:t>
      </w:r>
      <w:r>
        <w:rPr>
          <w:rFonts w:ascii="仿宋_GB2312" w:eastAsia="仿宋_GB2312" w:hAnsi="Times New Roman" w:cs="Times New Roman" w:hint="eastAsia"/>
          <w:sz w:val="32"/>
          <w:szCs w:val="32"/>
        </w:rPr>
        <w:t>月</w:t>
      </w:r>
      <w:r>
        <w:rPr>
          <w:rFonts w:ascii="仿宋_GB2312" w:eastAsia="仿宋_GB2312" w:hAnsi="Times New Roman" w:cs="Times New Roman" w:hint="eastAsia"/>
          <w:sz w:val="32"/>
          <w:szCs w:val="32"/>
        </w:rPr>
        <w:t>7</w:t>
      </w:r>
      <w:r>
        <w:rPr>
          <w:rFonts w:ascii="仿宋_GB2312" w:eastAsia="仿宋_GB2312" w:hAnsi="Times New Roman" w:cs="Times New Roman" w:hint="eastAsia"/>
          <w:sz w:val="32"/>
          <w:szCs w:val="32"/>
        </w:rPr>
        <w:t>日</w:t>
      </w:r>
      <w:r>
        <w:rPr>
          <w:rFonts w:ascii="仿宋_GB2312" w:eastAsia="仿宋_GB2312" w:hAnsi="Times New Roman" w:cs="Times New Roman" w:hint="eastAsia"/>
          <w:sz w:val="32"/>
          <w:szCs w:val="32"/>
        </w:rPr>
        <w:t>9:00</w:t>
      </w:r>
      <w:r>
        <w:rPr>
          <w:rFonts w:ascii="仿宋_GB2312" w:eastAsia="仿宋_GB2312" w:hAnsi="Times New Roman" w:cs="Times New Roman" w:hint="eastAsia"/>
          <w:sz w:val="32"/>
          <w:szCs w:val="32"/>
        </w:rPr>
        <w:t>至</w:t>
      </w:r>
      <w:r>
        <w:rPr>
          <w:rFonts w:ascii="仿宋_GB2312" w:eastAsia="仿宋_GB2312" w:hAnsi="Times New Roman" w:cs="Times New Roman" w:hint="eastAsia"/>
          <w:sz w:val="32"/>
          <w:szCs w:val="32"/>
        </w:rPr>
        <w:t>11</w:t>
      </w:r>
      <w:r>
        <w:rPr>
          <w:rFonts w:ascii="仿宋_GB2312" w:eastAsia="仿宋_GB2312" w:hAnsi="Times New Roman" w:cs="Times New Roman" w:hint="eastAsia"/>
          <w:sz w:val="32"/>
          <w:szCs w:val="32"/>
        </w:rPr>
        <w:t>月</w:t>
      </w:r>
      <w:r>
        <w:rPr>
          <w:rFonts w:ascii="仿宋_GB2312" w:eastAsia="仿宋_GB2312" w:hAnsi="Times New Roman" w:cs="Times New Roman" w:hint="eastAsia"/>
          <w:sz w:val="32"/>
          <w:szCs w:val="32"/>
        </w:rPr>
        <w:t>21</w:t>
      </w:r>
      <w:r>
        <w:rPr>
          <w:rFonts w:ascii="仿宋_GB2312" w:eastAsia="仿宋_GB2312" w:hAnsi="Times New Roman" w:cs="Times New Roman" w:hint="eastAsia"/>
          <w:sz w:val="32"/>
          <w:szCs w:val="32"/>
        </w:rPr>
        <w:t>日</w:t>
      </w:r>
      <w:r>
        <w:rPr>
          <w:rFonts w:ascii="仿宋_GB2312" w:eastAsia="仿宋_GB2312" w:hAnsi="Times New Roman" w:cs="Times New Roman" w:hint="eastAsia"/>
          <w:sz w:val="32"/>
          <w:szCs w:val="32"/>
        </w:rPr>
        <w:t>17:00</w:t>
      </w:r>
      <w:r>
        <w:rPr>
          <w:rFonts w:ascii="仿宋_GB2312" w:eastAsia="仿宋_GB2312" w:hAnsi="Times New Roman" w:cs="Times New Roman" w:hint="eastAsia"/>
          <w:sz w:val="32"/>
          <w:szCs w:val="32"/>
        </w:rPr>
        <w:t>，申</w:t>
      </w:r>
      <w:r>
        <w:rPr>
          <w:rFonts w:ascii="仿宋_GB2312" w:eastAsia="仿宋_GB2312" w:hAnsi="Times New Roman" w:cs="Times New Roman" w:hint="eastAsia"/>
          <w:sz w:val="32"/>
          <w:szCs w:val="32"/>
        </w:rPr>
        <w:lastRenderedPageBreak/>
        <w:t>请人、申报单位系统申报并将申报材料提交至主管单位。</w:t>
      </w:r>
    </w:p>
    <w:p w:rsidR="00F40406" w:rsidRDefault="009622A8">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推荐期：</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11</w:t>
      </w:r>
      <w:r>
        <w:rPr>
          <w:rFonts w:ascii="仿宋_GB2312" w:eastAsia="仿宋_GB2312" w:hAnsi="Times New Roman" w:cs="Times New Roman" w:hint="eastAsia"/>
          <w:sz w:val="32"/>
          <w:szCs w:val="32"/>
        </w:rPr>
        <w:t>月</w:t>
      </w:r>
      <w:r>
        <w:rPr>
          <w:rFonts w:ascii="仿宋_GB2312" w:eastAsia="仿宋_GB2312" w:hAnsi="Times New Roman" w:cs="Times New Roman" w:hint="eastAsia"/>
          <w:sz w:val="32"/>
          <w:szCs w:val="32"/>
        </w:rPr>
        <w:t>22</w:t>
      </w:r>
      <w:r>
        <w:rPr>
          <w:rFonts w:ascii="仿宋_GB2312" w:eastAsia="仿宋_GB2312" w:hAnsi="Times New Roman" w:cs="Times New Roman" w:hint="eastAsia"/>
          <w:sz w:val="32"/>
          <w:szCs w:val="32"/>
        </w:rPr>
        <w:t>日</w:t>
      </w:r>
      <w:r>
        <w:rPr>
          <w:rFonts w:ascii="仿宋_GB2312" w:eastAsia="仿宋_GB2312" w:hAnsi="Times New Roman" w:cs="Times New Roman" w:hint="eastAsia"/>
          <w:sz w:val="32"/>
          <w:szCs w:val="32"/>
        </w:rPr>
        <w:t>9:00</w:t>
      </w:r>
      <w:r>
        <w:rPr>
          <w:rFonts w:ascii="仿宋_GB2312" w:eastAsia="仿宋_GB2312" w:hAnsi="Times New Roman" w:cs="Times New Roman" w:hint="eastAsia"/>
          <w:sz w:val="32"/>
          <w:szCs w:val="32"/>
        </w:rPr>
        <w:t>至</w:t>
      </w:r>
      <w:r>
        <w:rPr>
          <w:rFonts w:ascii="仿宋_GB2312" w:eastAsia="仿宋_GB2312" w:hAnsi="Times New Roman" w:cs="Times New Roman" w:hint="eastAsia"/>
          <w:sz w:val="32"/>
          <w:szCs w:val="32"/>
        </w:rPr>
        <w:t>11</w:t>
      </w:r>
      <w:r>
        <w:rPr>
          <w:rFonts w:ascii="仿宋_GB2312" w:eastAsia="仿宋_GB2312" w:hAnsi="Times New Roman" w:cs="Times New Roman" w:hint="eastAsia"/>
          <w:sz w:val="32"/>
          <w:szCs w:val="32"/>
        </w:rPr>
        <w:t>月</w:t>
      </w:r>
      <w:r>
        <w:rPr>
          <w:rFonts w:ascii="仿宋_GB2312" w:eastAsia="仿宋_GB2312" w:hAnsi="Times New Roman" w:cs="Times New Roman" w:hint="eastAsia"/>
          <w:sz w:val="32"/>
          <w:szCs w:val="32"/>
        </w:rPr>
        <w:t>24</w:t>
      </w:r>
      <w:r>
        <w:rPr>
          <w:rFonts w:ascii="仿宋_GB2312" w:eastAsia="仿宋_GB2312" w:hAnsi="Times New Roman" w:cs="Times New Roman" w:hint="eastAsia"/>
          <w:sz w:val="32"/>
          <w:szCs w:val="32"/>
        </w:rPr>
        <w:t>日</w:t>
      </w:r>
      <w:r>
        <w:rPr>
          <w:rFonts w:ascii="仿宋_GB2312" w:eastAsia="仿宋_GB2312" w:hAnsi="Times New Roman" w:cs="Times New Roman" w:hint="eastAsia"/>
          <w:sz w:val="32"/>
          <w:szCs w:val="32"/>
        </w:rPr>
        <w:t>17:00</w:t>
      </w:r>
      <w:r>
        <w:rPr>
          <w:rFonts w:ascii="仿宋_GB2312" w:eastAsia="仿宋_GB2312" w:hAnsi="Times New Roman" w:cs="Times New Roman" w:hint="eastAsia"/>
          <w:sz w:val="32"/>
          <w:szCs w:val="32"/>
        </w:rPr>
        <w:t>，主管单位审核材料，</w:t>
      </w:r>
      <w:r>
        <w:rPr>
          <w:rFonts w:ascii="仿宋_GB2312" w:eastAsia="仿宋_GB2312" w:hAnsi="Times New Roman" w:cs="Times New Roman" w:hint="eastAsia"/>
          <w:sz w:val="32"/>
          <w:szCs w:val="32"/>
        </w:rPr>
        <w:t>下载推荐汇总表、加盖公章并扫描上传系统。</w:t>
      </w:r>
    </w:p>
    <w:p w:rsidR="00F40406" w:rsidRDefault="009622A8">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区（市）科技主管部门需会商有关部门，对企业类申报单位进行“绿色门槛”审查，审查通过的填写《“绿色门槛”制度审查意见表》，盖章并完成系统推荐提交。</w:t>
      </w:r>
    </w:p>
    <w:p w:rsidR="00F40406" w:rsidRDefault="009622A8">
      <w:pPr>
        <w:widowControl w:val="0"/>
        <w:ind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缺少附件材料、未按要求正确提供的附件材料，均视为无效申报和推荐，不予受理。</w:t>
      </w:r>
    </w:p>
    <w:p w:rsidR="00F40406" w:rsidRDefault="009622A8">
      <w:pPr>
        <w:widowControl w:val="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（四）联系方式</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业务咨询</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市科技局基础研究处</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电话：</w:t>
      </w:r>
      <w:r>
        <w:rPr>
          <w:rFonts w:ascii="仿宋_GB2312" w:eastAsia="仿宋_GB2312" w:hAnsi="Times New Roman" w:cs="Times New Roman" w:hint="eastAsia"/>
          <w:sz w:val="32"/>
          <w:szCs w:val="32"/>
        </w:rPr>
        <w:t>85911053</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青岛市科技服务中心</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电话：</w:t>
      </w:r>
      <w:r>
        <w:rPr>
          <w:rFonts w:ascii="仿宋_GB2312" w:eastAsia="仿宋_GB2312" w:hAnsi="Times New Roman" w:cs="Times New Roman" w:hint="eastAsia"/>
          <w:sz w:val="32"/>
          <w:szCs w:val="32"/>
        </w:rPr>
        <w:t>88728768/88728786</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系统技术咨询</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电话：</w:t>
      </w:r>
      <w:r>
        <w:rPr>
          <w:rFonts w:ascii="仿宋_GB2312" w:eastAsia="仿宋_GB2312" w:hAnsi="Times New Roman" w:cs="Times New Roman" w:hint="eastAsia"/>
          <w:sz w:val="32"/>
          <w:szCs w:val="32"/>
        </w:rPr>
        <w:t>85912992</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3.</w:t>
      </w:r>
      <w:r>
        <w:rPr>
          <w:rFonts w:ascii="仿宋_GB2312" w:eastAsia="仿宋_GB2312" w:hAnsi="Times New Roman" w:cs="Times New Roman" w:hint="eastAsia"/>
          <w:sz w:val="32"/>
          <w:szCs w:val="32"/>
        </w:rPr>
        <w:t>业务监督</w:t>
      </w:r>
    </w:p>
    <w:p w:rsidR="00F40406" w:rsidRDefault="009622A8">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市科技局科技监督与诚信建设处</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电话：</w:t>
      </w:r>
      <w:r>
        <w:rPr>
          <w:rFonts w:ascii="仿宋_GB2312" w:eastAsia="仿宋_GB2312" w:hAnsi="Times New Roman" w:cs="Times New Roman" w:hint="eastAsia"/>
          <w:sz w:val="32"/>
          <w:szCs w:val="32"/>
        </w:rPr>
        <w:t>85911316</w:t>
      </w:r>
    </w:p>
    <w:p w:rsidR="00F40406" w:rsidRDefault="00F40406">
      <w:pPr>
        <w:widowControl w:val="0"/>
        <w:rPr>
          <w:rFonts w:ascii="仿宋_GB2312" w:eastAsia="仿宋_GB2312" w:hAnsi="Times New Roman" w:cs="Times New Roman"/>
          <w:sz w:val="32"/>
          <w:szCs w:val="32"/>
        </w:rPr>
      </w:pPr>
    </w:p>
    <w:p w:rsidR="00F40406" w:rsidRDefault="009622A8">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重点项目指南研究方向</w:t>
      </w:r>
    </w:p>
    <w:p w:rsidR="00F40406" w:rsidRDefault="009622A8">
      <w:pPr>
        <w:widowControl w:val="0"/>
        <w:ind w:firstLineChars="500" w:firstLine="160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科技研发综合统计报表分类</w:t>
      </w:r>
    </w:p>
    <w:p w:rsidR="00F40406" w:rsidRDefault="00F40406">
      <w:pPr>
        <w:widowControl w:val="0"/>
        <w:rPr>
          <w:rFonts w:ascii="仿宋_GB2312" w:eastAsia="仿宋_GB2312" w:hAnsi="Times New Roman" w:cs="Times New Roman"/>
          <w:sz w:val="32"/>
          <w:szCs w:val="32"/>
        </w:rPr>
      </w:pP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青岛市科学技术局</w:t>
      </w:r>
    </w:p>
    <w:p w:rsidR="00F40406" w:rsidRDefault="009622A8">
      <w:pPr>
        <w:widowContro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2025</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月</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日</w:t>
      </w:r>
    </w:p>
    <w:p w:rsidR="00F40406" w:rsidRDefault="009622A8">
      <w:pPr>
        <w:widowControl w:val="0"/>
        <w:rPr>
          <w:rFonts w:ascii="黑体" w:eastAsia="黑体" w:hAnsi="黑体"/>
          <w:sz w:val="32"/>
          <w:szCs w:val="32"/>
        </w:rPr>
      </w:pPr>
      <w:r>
        <w:br w:type="page"/>
      </w:r>
      <w:r>
        <w:rPr>
          <w:rFonts w:ascii="黑体" w:eastAsia="黑体" w:hAnsi="黑体" w:hint="eastAsia"/>
          <w:sz w:val="32"/>
          <w:szCs w:val="32"/>
        </w:rPr>
        <w:lastRenderedPageBreak/>
        <w:t>附件</w:t>
      </w:r>
      <w:r>
        <w:rPr>
          <w:rFonts w:ascii="黑体" w:eastAsia="黑体" w:hAnsi="黑体" w:hint="eastAsia"/>
          <w:sz w:val="32"/>
          <w:szCs w:val="32"/>
        </w:rPr>
        <w:t>1</w:t>
      </w:r>
    </w:p>
    <w:p w:rsidR="00F40406" w:rsidRDefault="00F40406">
      <w:pPr>
        <w:widowControl w:val="0"/>
        <w:ind w:firstLineChars="200" w:firstLine="640"/>
        <w:rPr>
          <w:rFonts w:ascii="黑体" w:eastAsia="黑体" w:hAnsi="黑体"/>
          <w:sz w:val="32"/>
          <w:szCs w:val="32"/>
        </w:rPr>
      </w:pPr>
    </w:p>
    <w:p w:rsidR="00F40406" w:rsidRDefault="009622A8">
      <w:pPr>
        <w:widowControl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重点项目指南研究方向</w:t>
      </w:r>
    </w:p>
    <w:p w:rsidR="00F40406" w:rsidRDefault="00F40406">
      <w:pPr>
        <w:widowControl w:val="0"/>
        <w:ind w:firstLineChars="200" w:firstLine="640"/>
        <w:rPr>
          <w:rFonts w:ascii="黑体" w:eastAsia="黑体" w:hAnsi="黑体"/>
          <w:sz w:val="32"/>
          <w:szCs w:val="32"/>
        </w:rPr>
      </w:pPr>
    </w:p>
    <w:p w:rsidR="00F40406" w:rsidRDefault="009622A8">
      <w:pPr>
        <w:widowControl w:val="0"/>
        <w:ind w:firstLineChars="200" w:firstLine="640"/>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一、生命健康领域</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：基于增强神经环路调控的脑机接口关键技术研究</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针对</w:t>
      </w:r>
      <w:r>
        <w:rPr>
          <w:rFonts w:ascii="仿宋_GB2312" w:eastAsia="仿宋_GB2312" w:hAnsi="Times New Roman" w:cs="Times New Roman" w:hint="eastAsia"/>
          <w:sz w:val="32"/>
          <w:szCs w:val="32"/>
        </w:rPr>
        <w:t>被动康复训练模式与脑机接口反馈缺失导致的康复效率受限问题</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基于触觉补偿的“外周</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中枢</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外周”自适应反馈康复训练方法，借助虚拟现实技术，研究基于增强神经环路调控的脑机接口手功能康复机器人，进行临床验证，阐明“感知</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认知</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言语</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手”神经环路增强调控机制，形成多模态主动康复训练新模式。</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开发一套基于增强神经调控的脑机接口手功能康复训练机器人系统，可实现手指的主动、被动、助力和抗阻康复训练，具有信息识别、自适应控制、主动运动意图识别、神经环路调控等功能。开发增强神经环路调控下的运动想象脑电解码算法，实现高</w:t>
      </w:r>
      <w:r>
        <w:rPr>
          <w:rFonts w:ascii="仿宋_GB2312" w:eastAsia="仿宋_GB2312" w:hAnsi="Times New Roman" w:cs="Times New Roman" w:hint="eastAsia"/>
          <w:sz w:val="32"/>
          <w:szCs w:val="32"/>
        </w:rPr>
        <w:t>精度运动意图识别，二类运动意图识别准确率≥</w:t>
      </w:r>
      <w:r>
        <w:rPr>
          <w:rFonts w:ascii="仿宋_GB2312" w:eastAsia="仿宋_GB2312" w:hAnsi="Times New Roman" w:cs="Times New Roman" w:hint="eastAsia"/>
          <w:sz w:val="32"/>
          <w:szCs w:val="32"/>
        </w:rPr>
        <w:t>85%</w:t>
      </w:r>
      <w:r>
        <w:rPr>
          <w:rFonts w:ascii="仿宋_GB2312" w:eastAsia="仿宋_GB2312" w:hAnsi="Times New Roman" w:cs="Times New Roman" w:hint="eastAsia"/>
          <w:sz w:val="32"/>
          <w:szCs w:val="32"/>
        </w:rPr>
        <w:t>，识别时间≤</w:t>
      </w:r>
      <w:r>
        <w:rPr>
          <w:rFonts w:ascii="仿宋_GB2312" w:eastAsia="仿宋_GB2312" w:hAnsi="Times New Roman" w:cs="Times New Roman" w:hint="eastAsia"/>
          <w:sz w:val="32"/>
          <w:szCs w:val="32"/>
        </w:rPr>
        <w:t>250 ms</w:t>
      </w:r>
      <w:r>
        <w:rPr>
          <w:rFonts w:ascii="仿宋_GB2312" w:eastAsia="仿宋_GB2312" w:hAnsi="Times New Roman" w:cs="Times New Roman" w:hint="eastAsia"/>
          <w:sz w:val="32"/>
          <w:szCs w:val="32"/>
        </w:rPr>
        <w:t>，语言定征识别种类</w:t>
      </w:r>
      <w:r>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种以上，识别准确度≥</w:t>
      </w:r>
      <w:r>
        <w:rPr>
          <w:rFonts w:ascii="仿宋_GB2312" w:eastAsia="仿宋_GB2312" w:hAnsi="Times New Roman" w:cs="Times New Roman" w:hint="eastAsia"/>
          <w:sz w:val="32"/>
          <w:szCs w:val="32"/>
        </w:rPr>
        <w:t>95%</w:t>
      </w:r>
      <w:r>
        <w:rPr>
          <w:rFonts w:ascii="仿宋_GB2312" w:eastAsia="仿宋_GB2312" w:hAnsi="Times New Roman" w:cs="Times New Roman" w:hint="eastAsia"/>
          <w:sz w:val="32"/>
          <w:szCs w:val="32"/>
        </w:rPr>
        <w:t>。构建一套基于人机协同的高效手部康复策略和安全机制，完成临床验证≥</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例。发表高水平论文</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篇以上，授权发明专利</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项，授权软件著作权</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项，培养研究生</w:t>
      </w:r>
      <w:r>
        <w:rPr>
          <w:rFonts w:ascii="仿宋_GB2312" w:eastAsia="仿宋_GB2312" w:hAnsi="Times New Roman" w:cs="Times New Roman" w:hint="eastAsia"/>
          <w:sz w:val="32"/>
          <w:szCs w:val="32"/>
        </w:rPr>
        <w:t>2-3</w:t>
      </w:r>
      <w:r>
        <w:rPr>
          <w:rFonts w:ascii="仿宋_GB2312" w:eastAsia="仿宋_GB2312" w:hAnsi="Times New Roman" w:cs="Times New Roman" w:hint="eastAsia"/>
          <w:sz w:val="32"/>
          <w:szCs w:val="32"/>
        </w:rPr>
        <w:t>人。</w:t>
      </w:r>
    </w:p>
    <w:p w:rsidR="00F40406" w:rsidRDefault="009622A8">
      <w:pPr>
        <w:widowControl w:val="0"/>
        <w:ind w:firstLineChars="200" w:firstLine="640"/>
        <w:rPr>
          <w:rFonts w:ascii="仿宋_GB2312" w:eastAsia="仿宋_GB2312" w:hAnsi="Times New Roman" w:cs="Times New Roman"/>
          <w:b/>
          <w:bCs/>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：针对系列慢性顽固性疾病的海洋创新药物研究</w:t>
      </w:r>
      <w:r>
        <w:rPr>
          <w:rFonts w:ascii="仿宋_GB2312" w:eastAsia="仿宋_GB2312" w:hAnsi="Times New Roman" w:cs="Times New Roman" w:hint="eastAsia"/>
          <w:b/>
          <w:bCs/>
          <w:sz w:val="32"/>
          <w:szCs w:val="32"/>
        </w:rPr>
        <w:t xml:space="preserve"> </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lastRenderedPageBreak/>
        <w:t>研究内容：</w:t>
      </w:r>
      <w:r>
        <w:rPr>
          <w:rFonts w:ascii="仿宋_GB2312" w:eastAsia="仿宋_GB2312" w:hAnsi="Times New Roman" w:cs="Times New Roman" w:hint="eastAsia"/>
          <w:sz w:val="32"/>
          <w:szCs w:val="32"/>
        </w:rPr>
        <w:t>聚焦生命健康重大需求，针对多发性硬化症、糖尿病足难愈合创面、酒精性多器官损伤等慢性顽固性疾病，综合运用多种新方法、新技术，从海洋微生物、动物、藻类等资源中获取具有新颖结构的小分子、肽类、糖类等天然产物，在此基础上，建立针对上述慢性顽固性疾病的药物筛选与评价体系，阐明具有开发利用价值先导化合物的靶点及作用机制，开展系统的临床前研究，为重大慢性疾病的药物研发奠定基础。</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建立针对一种慢性顽固性疾病的药物筛选与评价体系，获得</w:t>
      </w:r>
      <w:r>
        <w:rPr>
          <w:rFonts w:ascii="仿宋_GB2312" w:eastAsia="仿宋_GB2312" w:hAnsi="Times New Roman" w:cs="Times New Roman" w:hint="eastAsia"/>
          <w:sz w:val="32"/>
          <w:szCs w:val="32"/>
        </w:rPr>
        <w:t>2-3</w:t>
      </w:r>
      <w:r>
        <w:rPr>
          <w:rFonts w:ascii="仿宋_GB2312" w:eastAsia="仿宋_GB2312" w:hAnsi="Times New Roman" w:cs="Times New Roman" w:hint="eastAsia"/>
          <w:sz w:val="32"/>
          <w:szCs w:val="32"/>
        </w:rPr>
        <w:t>个具备成药潜力的海洋药物先导化合物，完成药理、药效、药代动力学研究，系统评估</w:t>
      </w:r>
      <w:r>
        <w:rPr>
          <w:rFonts w:ascii="仿宋_GB2312" w:eastAsia="仿宋_GB2312" w:hAnsi="Times New Roman" w:cs="Times New Roman" w:hint="eastAsia"/>
          <w:sz w:val="32"/>
          <w:szCs w:val="32"/>
        </w:rPr>
        <w:t>其体内安全性。发表高水平论文</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篇以上，授权发明专利</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项及以上，培养研究生</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人以上。</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：干眼发生的神经调控机制及靶向治疗研究</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解析泪腺和睑板腺的神经调控环路，明确泪液分泌整体规律；揭示副交感神经调控睑板腺脂质分泌的下游机制和关键靶点，筛选靶向药物，设计研发热敏型智能药物缓释系统防治干眼；鉴定交感神经调控泪腺分泌功能的中枢神经环路及下游靶点，构建微针等智能药物缓释系统，并验证其长期安全性和有效性。</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重点揭示交感神经在干眼发病中的关键作用及其规律，筛选并获得不少于</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个干预靶点，完成</w:t>
      </w:r>
      <w:r>
        <w:rPr>
          <w:rFonts w:ascii="仿宋_GB2312" w:eastAsia="仿宋_GB2312" w:hAnsi="Times New Roman" w:cs="Times New Roman" w:hint="eastAsia"/>
          <w:sz w:val="32"/>
          <w:szCs w:val="32"/>
        </w:rPr>
        <w:t>2-3</w:t>
      </w:r>
      <w:r>
        <w:rPr>
          <w:rFonts w:ascii="仿宋_GB2312" w:eastAsia="仿宋_GB2312" w:hAnsi="Times New Roman" w:cs="Times New Roman" w:hint="eastAsia"/>
          <w:sz w:val="32"/>
          <w:szCs w:val="32"/>
        </w:rPr>
        <w:t>种用于干眼治疗的创新药物验证。设计并构建</w:t>
      </w:r>
      <w:r>
        <w:rPr>
          <w:rFonts w:ascii="仿宋_GB2312" w:eastAsia="仿宋_GB2312" w:hAnsi="Times New Roman" w:cs="Times New Roman" w:hint="eastAsia"/>
          <w:sz w:val="32"/>
          <w:szCs w:val="32"/>
        </w:rPr>
        <w:t>2-3</w:t>
      </w:r>
      <w:r>
        <w:rPr>
          <w:rFonts w:ascii="仿宋_GB2312" w:eastAsia="仿宋_GB2312" w:hAnsi="Times New Roman" w:cs="Times New Roman" w:hint="eastAsia"/>
          <w:sz w:val="32"/>
          <w:szCs w:val="32"/>
        </w:rPr>
        <w:t>种响应型智能药物递送系</w:t>
      </w:r>
      <w:r>
        <w:rPr>
          <w:rFonts w:ascii="仿宋_GB2312" w:eastAsia="仿宋_GB2312" w:hAnsi="Times New Roman" w:cs="Times New Roman" w:hint="eastAsia"/>
          <w:sz w:val="32"/>
          <w:szCs w:val="32"/>
        </w:rPr>
        <w:lastRenderedPageBreak/>
        <w:t>统，在不少于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种动物模型上完成药效学与药代动力学评价，评估其安全性与有效性。开展相关临床试验</w:t>
      </w:r>
      <w:r>
        <w:rPr>
          <w:rFonts w:ascii="仿宋_GB2312" w:eastAsia="仿宋_GB2312" w:hAnsi="Times New Roman" w:cs="Times New Roman" w:hint="eastAsia"/>
          <w:sz w:val="32"/>
          <w:szCs w:val="32"/>
        </w:rPr>
        <w:t>2-3</w:t>
      </w:r>
      <w:r>
        <w:rPr>
          <w:rFonts w:ascii="仿宋_GB2312" w:eastAsia="仿宋_GB2312" w:hAnsi="Times New Roman" w:cs="Times New Roman" w:hint="eastAsia"/>
          <w:sz w:val="32"/>
          <w:szCs w:val="32"/>
        </w:rPr>
        <w:t>项，制定形成临床规范化方案</w:t>
      </w:r>
      <w:r>
        <w:rPr>
          <w:rFonts w:ascii="仿宋_GB2312" w:eastAsia="仿宋_GB2312" w:hAnsi="Times New Roman" w:cs="Times New Roman" w:hint="eastAsia"/>
          <w:sz w:val="32"/>
          <w:szCs w:val="32"/>
        </w:rPr>
        <w:t>1-2</w:t>
      </w:r>
      <w:r>
        <w:rPr>
          <w:rFonts w:ascii="仿宋_GB2312" w:eastAsia="仿宋_GB2312" w:hAnsi="Times New Roman" w:cs="Times New Roman" w:hint="eastAsia"/>
          <w:sz w:val="32"/>
          <w:szCs w:val="32"/>
        </w:rPr>
        <w:t>个。发表高水平论文</w:t>
      </w:r>
      <w:r>
        <w:rPr>
          <w:rFonts w:ascii="仿宋_GB2312" w:eastAsia="仿宋_GB2312" w:hAnsi="Times New Roman" w:cs="Times New Roman" w:hint="eastAsia"/>
          <w:sz w:val="32"/>
          <w:szCs w:val="32"/>
        </w:rPr>
        <w:t>4-6</w:t>
      </w:r>
      <w:r>
        <w:rPr>
          <w:rFonts w:ascii="仿宋_GB2312" w:eastAsia="仿宋_GB2312" w:hAnsi="Times New Roman" w:cs="Times New Roman" w:hint="eastAsia"/>
          <w:sz w:val="32"/>
          <w:szCs w:val="32"/>
        </w:rPr>
        <w:t>篇，授权发明专利</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项及以上，培养研究生</w:t>
      </w:r>
      <w:r>
        <w:rPr>
          <w:rFonts w:ascii="仿宋_GB2312" w:eastAsia="仿宋_GB2312" w:hAnsi="Times New Roman" w:cs="Times New Roman" w:hint="eastAsia"/>
          <w:sz w:val="32"/>
          <w:szCs w:val="32"/>
        </w:rPr>
        <w:t>4-6</w:t>
      </w:r>
      <w:r>
        <w:rPr>
          <w:rFonts w:ascii="仿宋_GB2312" w:eastAsia="仿宋_GB2312" w:hAnsi="Times New Roman" w:cs="Times New Roman" w:hint="eastAsia"/>
          <w:sz w:val="32"/>
          <w:szCs w:val="32"/>
        </w:rPr>
        <w:t>名。</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：基于合成生物学技术的海洋源蛋白酶资源的高效制备及应用开发</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聚焦海洋源蛋白质资源，以合成生物学技术为指导，挖掘深海微生物资源、基因资源、酶资源，揭示新型海洋源蛋白酶的催化特性、催化机制和调控机制；发现和鉴定新酶基因、强启动子等合成生物学元件</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构建具有高效催化活性的细胞工厂，突破技术瓶颈，高效合成海洋源天然蛋白酶，实现海洋生物资源高效利用。</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挖掘、发现和鉴定</w:t>
      </w:r>
      <w:r>
        <w:rPr>
          <w:rFonts w:ascii="仿宋_GB2312" w:eastAsia="仿宋_GB2312" w:hAnsi="Times New Roman" w:cs="Times New Roman" w:hint="eastAsia"/>
          <w:sz w:val="32"/>
          <w:szCs w:val="32"/>
        </w:rPr>
        <w:t>2-3</w:t>
      </w:r>
      <w:r>
        <w:rPr>
          <w:rFonts w:ascii="仿宋_GB2312" w:eastAsia="仿宋_GB2312" w:hAnsi="Times New Roman" w:cs="Times New Roman" w:hint="eastAsia"/>
          <w:sz w:val="32"/>
          <w:szCs w:val="32"/>
        </w:rPr>
        <w:t>种新型海洋源蛋白酶基因及酶资源，所获蛋白酶活性较现有产品有显著性提升；揭示酶的催化机制及其表达调控机制，进一步提高酶的稳定性及活性；构建</w:t>
      </w:r>
      <w:r>
        <w:rPr>
          <w:rFonts w:ascii="仿宋_GB2312" w:eastAsia="仿宋_GB2312" w:hAnsi="Times New Roman" w:cs="Times New Roman" w:hint="eastAsia"/>
          <w:sz w:val="32"/>
          <w:szCs w:val="32"/>
        </w:rPr>
        <w:t>1-2</w:t>
      </w:r>
      <w:r>
        <w:rPr>
          <w:rFonts w:ascii="仿宋_GB2312" w:eastAsia="仿宋_GB2312" w:hAnsi="Times New Roman" w:cs="Times New Roman" w:hint="eastAsia"/>
          <w:sz w:val="32"/>
          <w:szCs w:val="32"/>
        </w:rPr>
        <w:t>种酶的高效表达单细胞工厂，建立酶的发酵技术和后处理技术体</w:t>
      </w:r>
      <w:r>
        <w:rPr>
          <w:rFonts w:ascii="仿宋_GB2312" w:eastAsia="仿宋_GB2312" w:hAnsi="Times New Roman" w:cs="Times New Roman" w:hint="eastAsia"/>
          <w:sz w:val="32"/>
          <w:szCs w:val="32"/>
        </w:rPr>
        <w:t>系；所构建的底盘细胞通过中试验证；发表</w:t>
      </w:r>
      <w:r>
        <w:rPr>
          <w:rFonts w:ascii="仿宋_GB2312" w:eastAsia="仿宋_GB2312" w:hAnsi="Times New Roman" w:cs="Times New Roman" w:hint="eastAsia"/>
          <w:sz w:val="32"/>
          <w:szCs w:val="32"/>
        </w:rPr>
        <w:t>TOP</w:t>
      </w:r>
      <w:r>
        <w:rPr>
          <w:rFonts w:ascii="仿宋_GB2312" w:eastAsia="仿宋_GB2312" w:hAnsi="Times New Roman" w:cs="Times New Roman" w:hint="eastAsia"/>
          <w:sz w:val="32"/>
          <w:szCs w:val="32"/>
        </w:rPr>
        <w:t>级别论文不少于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篇；授权发明专利</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项及以上；培养国家级人才（团队）</w:t>
      </w:r>
      <w:r>
        <w:rPr>
          <w:rFonts w:ascii="仿宋_GB2312" w:eastAsia="仿宋_GB2312" w:hAnsi="Times New Roman" w:cs="Times New Roman" w:hint="eastAsia"/>
          <w:sz w:val="32"/>
          <w:szCs w:val="32"/>
        </w:rPr>
        <w:t>1-2</w:t>
      </w:r>
      <w:r>
        <w:rPr>
          <w:rFonts w:ascii="仿宋_GB2312" w:eastAsia="仿宋_GB2312" w:hAnsi="Times New Roman" w:cs="Times New Roman" w:hint="eastAsia"/>
          <w:sz w:val="32"/>
          <w:szCs w:val="32"/>
        </w:rPr>
        <w:t>名（个）。</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：肿瘤免疫逃逸新型作用靶点开发</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针对肿瘤免疫微环境高度异质性导致现有免疫检查点抑制剂单药反应率不足的问题，阐明多靶点抑制在肿瘤免疫</w:t>
      </w:r>
      <w:r>
        <w:rPr>
          <w:rFonts w:ascii="仿宋_GB2312" w:eastAsia="仿宋_GB2312" w:hAnsi="Times New Roman" w:cs="Times New Roman" w:hint="eastAsia"/>
          <w:sz w:val="32"/>
          <w:szCs w:val="32"/>
        </w:rPr>
        <w:lastRenderedPageBreak/>
        <w:t>逃逸中的作用机制，筛选新靶点（如铁死亡、</w:t>
      </w:r>
      <w:r>
        <w:rPr>
          <w:rFonts w:ascii="仿宋_GB2312" w:eastAsia="仿宋_GB2312" w:hAnsi="Times New Roman" w:cs="Times New Roman" w:hint="eastAsia"/>
          <w:sz w:val="32"/>
          <w:szCs w:val="32"/>
        </w:rPr>
        <w:t>PD-1</w:t>
      </w:r>
      <w:r>
        <w:rPr>
          <w:rFonts w:ascii="仿宋_GB2312" w:eastAsia="仿宋_GB2312" w:hAnsi="Times New Roman" w:cs="Times New Roman" w:hint="eastAsia"/>
          <w:sz w:val="32"/>
          <w:szCs w:val="32"/>
        </w:rPr>
        <w:t>等）相关高灵敏度生物标志物，获得靶向肿瘤免疫的新精准诊疗策略，探索新靶点关键分子的临床应用潜力。</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明确</w:t>
      </w:r>
      <w:r>
        <w:rPr>
          <w:rFonts w:ascii="仿宋_GB2312" w:eastAsia="仿宋_GB2312" w:hAnsi="Times New Roman" w:cs="Times New Roman" w:hint="eastAsia"/>
          <w:sz w:val="32"/>
          <w:szCs w:val="32"/>
        </w:rPr>
        <w:t>2-3</w:t>
      </w:r>
      <w:r>
        <w:rPr>
          <w:rFonts w:ascii="仿宋_GB2312" w:eastAsia="仿宋_GB2312" w:hAnsi="Times New Roman" w:cs="Times New Roman" w:hint="eastAsia"/>
          <w:sz w:val="32"/>
          <w:szCs w:val="32"/>
        </w:rPr>
        <w:t>个新靶点相关高灵敏度生物标志物，制备</w:t>
      </w:r>
      <w:r>
        <w:rPr>
          <w:rFonts w:ascii="仿宋_GB2312" w:eastAsia="仿宋_GB2312" w:hAnsi="Times New Roman" w:cs="Times New Roman" w:hint="eastAsia"/>
          <w:sz w:val="32"/>
          <w:szCs w:val="32"/>
        </w:rPr>
        <w:t>1-2</w:t>
      </w:r>
      <w:r>
        <w:rPr>
          <w:rFonts w:ascii="仿宋_GB2312" w:eastAsia="仿宋_GB2312" w:hAnsi="Times New Roman" w:cs="Times New Roman" w:hint="eastAsia"/>
          <w:sz w:val="32"/>
          <w:szCs w:val="32"/>
        </w:rPr>
        <w:t>套应用新靶点抑制剂与特异非编码</w:t>
      </w:r>
      <w:r>
        <w:rPr>
          <w:rFonts w:ascii="仿宋_GB2312" w:eastAsia="仿宋_GB2312" w:hAnsi="Times New Roman" w:cs="Times New Roman" w:hint="eastAsia"/>
          <w:sz w:val="32"/>
          <w:szCs w:val="32"/>
        </w:rPr>
        <w:t>RNA</w:t>
      </w:r>
      <w:r>
        <w:rPr>
          <w:rFonts w:ascii="仿宋_GB2312" w:eastAsia="仿宋_GB2312" w:hAnsi="Times New Roman" w:cs="Times New Roman" w:hint="eastAsia"/>
          <w:sz w:val="32"/>
          <w:szCs w:val="32"/>
        </w:rPr>
        <w:t>调控物协同靶向策略的递送系统，完成功能性表征。以原位肿瘤为疾病模型，在动物模型上完成作用效果及体内安全性验证，获得</w:t>
      </w:r>
      <w:r>
        <w:rPr>
          <w:rFonts w:ascii="仿宋_GB2312" w:eastAsia="仿宋_GB2312" w:hAnsi="Times New Roman" w:cs="Times New Roman" w:hint="eastAsia"/>
          <w:sz w:val="32"/>
          <w:szCs w:val="32"/>
        </w:rPr>
        <w:t>1-2</w:t>
      </w:r>
      <w:r>
        <w:rPr>
          <w:rFonts w:ascii="仿宋_GB2312" w:eastAsia="仿宋_GB2312" w:hAnsi="Times New Roman" w:cs="Times New Roman" w:hint="eastAsia"/>
          <w:sz w:val="32"/>
          <w:szCs w:val="32"/>
        </w:rPr>
        <w:t>项新药申请受理，发表</w:t>
      </w:r>
      <w:r>
        <w:rPr>
          <w:rFonts w:ascii="仿宋_GB2312" w:eastAsia="仿宋_GB2312" w:hAnsi="Times New Roman" w:cs="Times New Roman" w:hint="eastAsia"/>
          <w:sz w:val="32"/>
          <w:szCs w:val="32"/>
        </w:rPr>
        <w:t>SCI</w:t>
      </w:r>
      <w:r>
        <w:rPr>
          <w:rFonts w:ascii="仿宋_GB2312" w:eastAsia="仿宋_GB2312" w:hAnsi="Times New Roman" w:cs="Times New Roman" w:hint="eastAsia"/>
          <w:sz w:val="32"/>
          <w:szCs w:val="32"/>
        </w:rPr>
        <w:t>论文不少于</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篇，授权发明专利不少于</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项，培养研究生不少于</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名，培养市级以上科研领军人才</w:t>
      </w:r>
      <w:r>
        <w:rPr>
          <w:rFonts w:ascii="仿宋_GB2312" w:eastAsia="仿宋_GB2312" w:hAnsi="Times New Roman" w:cs="Times New Roman" w:hint="eastAsia"/>
          <w:sz w:val="32"/>
          <w:szCs w:val="32"/>
        </w:rPr>
        <w:t>1-2</w:t>
      </w:r>
      <w:r>
        <w:rPr>
          <w:rFonts w:ascii="仿宋_GB2312" w:eastAsia="仿宋_GB2312" w:hAnsi="Times New Roman" w:cs="Times New Roman" w:hint="eastAsia"/>
          <w:sz w:val="32"/>
          <w:szCs w:val="32"/>
        </w:rPr>
        <w:t>名。</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HIFU</w:t>
      </w:r>
      <w:r>
        <w:rPr>
          <w:rFonts w:ascii="楷体_GB2312" w:eastAsia="楷体_GB2312" w:hAnsi="楷体_GB2312" w:cs="楷体_GB2312" w:hint="eastAsia"/>
          <w:sz w:val="32"/>
          <w:szCs w:val="32"/>
        </w:rPr>
        <w:t>激活热启动自杀基因治疗肥厚型梗阻性心肌病的分子机制研究</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针对肥厚型梗阻性心肌病（</w:t>
      </w:r>
      <w:r>
        <w:rPr>
          <w:rFonts w:ascii="仿宋_GB2312" w:eastAsia="仿宋_GB2312" w:hAnsi="Times New Roman" w:cs="Times New Roman" w:hint="eastAsia"/>
          <w:sz w:val="32"/>
          <w:szCs w:val="32"/>
        </w:rPr>
        <w:t>HOCM</w:t>
      </w:r>
      <w:r>
        <w:rPr>
          <w:rFonts w:ascii="仿宋_GB2312" w:eastAsia="仿宋_GB2312" w:hAnsi="Times New Roman" w:cs="Times New Roman" w:hint="eastAsia"/>
          <w:sz w:val="32"/>
          <w:szCs w:val="32"/>
        </w:rPr>
        <w:t>）精准治疗的临床需求，将高强度聚焦超声（</w:t>
      </w:r>
      <w:r>
        <w:rPr>
          <w:rFonts w:ascii="仿宋_GB2312" w:eastAsia="仿宋_GB2312" w:hAnsi="Times New Roman" w:cs="Times New Roman" w:hint="eastAsia"/>
          <w:sz w:val="32"/>
          <w:szCs w:val="32"/>
        </w:rPr>
        <w:t>HIFU</w:t>
      </w:r>
      <w:r>
        <w:rPr>
          <w:rFonts w:ascii="仿宋_GB2312" w:eastAsia="仿宋_GB2312" w:hAnsi="Times New Roman" w:cs="Times New Roman" w:hint="eastAsia"/>
          <w:sz w:val="32"/>
          <w:szCs w:val="32"/>
        </w:rPr>
        <w:t>）的精准物理消融与热启动自杀基因系统的可控生物调控相结合，建立动物</w:t>
      </w:r>
      <w:r>
        <w:rPr>
          <w:rFonts w:ascii="仿宋_GB2312" w:eastAsia="仿宋_GB2312" w:hAnsi="Times New Roman" w:cs="Times New Roman" w:hint="eastAsia"/>
          <w:sz w:val="32"/>
          <w:szCs w:val="32"/>
        </w:rPr>
        <w:t>HOCM</w:t>
      </w:r>
      <w:r>
        <w:rPr>
          <w:rFonts w:ascii="仿宋_GB2312" w:eastAsia="仿宋_GB2312" w:hAnsi="Times New Roman" w:cs="Times New Roman" w:hint="eastAsia"/>
          <w:sz w:val="32"/>
          <w:szCs w:val="32"/>
        </w:rPr>
        <w:t>模型</w:t>
      </w:r>
      <w:r>
        <w:rPr>
          <w:rFonts w:ascii="仿宋_GB2312" w:eastAsia="仿宋_GB2312" w:hAnsi="Times New Roman" w:cs="Times New Roman" w:hint="eastAsia"/>
          <w:sz w:val="32"/>
          <w:szCs w:val="32"/>
        </w:rPr>
        <w:t>HIFU</w:t>
      </w:r>
      <w:r>
        <w:rPr>
          <w:rFonts w:ascii="仿宋_GB2312" w:eastAsia="仿宋_GB2312" w:hAnsi="Times New Roman" w:cs="Times New Roman" w:hint="eastAsia"/>
          <w:sz w:val="32"/>
          <w:szCs w:val="32"/>
        </w:rPr>
        <w:t>精准激活热启动</w:t>
      </w:r>
      <w:r>
        <w:rPr>
          <w:rFonts w:ascii="仿宋_GB2312" w:eastAsia="仿宋_GB2312" w:hAnsi="Times New Roman" w:cs="Times New Roman" w:hint="eastAsia"/>
          <w:sz w:val="32"/>
          <w:szCs w:val="32"/>
        </w:rPr>
        <w:t>自杀基因的治疗体系，阐明</w:t>
      </w:r>
      <w:r>
        <w:rPr>
          <w:rFonts w:ascii="仿宋_GB2312" w:eastAsia="仿宋_GB2312" w:hAnsi="Times New Roman" w:cs="Times New Roman" w:hint="eastAsia"/>
          <w:sz w:val="32"/>
          <w:szCs w:val="32"/>
        </w:rPr>
        <w:t>HIFU</w:t>
      </w:r>
      <w:r>
        <w:rPr>
          <w:rFonts w:ascii="仿宋_GB2312" w:eastAsia="仿宋_GB2312" w:hAnsi="Times New Roman" w:cs="Times New Roman" w:hint="eastAsia"/>
          <w:sz w:val="32"/>
          <w:szCs w:val="32"/>
        </w:rPr>
        <w:t>协同基因治疗</w:t>
      </w:r>
      <w:r>
        <w:rPr>
          <w:rFonts w:ascii="仿宋_GB2312" w:eastAsia="仿宋_GB2312" w:hAnsi="Times New Roman" w:cs="Times New Roman" w:hint="eastAsia"/>
          <w:sz w:val="32"/>
          <w:szCs w:val="32"/>
        </w:rPr>
        <w:t>HOCM</w:t>
      </w:r>
      <w:r>
        <w:rPr>
          <w:rFonts w:ascii="仿宋_GB2312" w:eastAsia="仿宋_GB2312" w:hAnsi="Times New Roman" w:cs="Times New Roman" w:hint="eastAsia"/>
          <w:sz w:val="32"/>
          <w:szCs w:val="32"/>
        </w:rPr>
        <w:t>的分子机制，突破</w:t>
      </w:r>
      <w:r>
        <w:rPr>
          <w:rFonts w:ascii="仿宋_GB2312" w:eastAsia="仿宋_GB2312" w:hAnsi="Times New Roman" w:cs="Times New Roman" w:hint="eastAsia"/>
          <w:sz w:val="32"/>
          <w:szCs w:val="32"/>
        </w:rPr>
        <w:t>HIFU</w:t>
      </w:r>
      <w:r>
        <w:rPr>
          <w:rFonts w:ascii="仿宋_GB2312" w:eastAsia="仿宋_GB2312" w:hAnsi="Times New Roman" w:cs="Times New Roman" w:hint="eastAsia"/>
          <w:sz w:val="32"/>
          <w:szCs w:val="32"/>
        </w:rPr>
        <w:t>精准激活热启动自杀基因的关键技术，为</w:t>
      </w:r>
      <w:r>
        <w:rPr>
          <w:rFonts w:ascii="仿宋_GB2312" w:eastAsia="仿宋_GB2312" w:hAnsi="Times New Roman" w:cs="Times New Roman" w:hint="eastAsia"/>
          <w:sz w:val="32"/>
          <w:szCs w:val="32"/>
        </w:rPr>
        <w:t>HOCM</w:t>
      </w:r>
      <w:r>
        <w:rPr>
          <w:rFonts w:ascii="仿宋_GB2312" w:eastAsia="仿宋_GB2312" w:hAnsi="Times New Roman" w:cs="Times New Roman" w:hint="eastAsia"/>
          <w:sz w:val="32"/>
          <w:szCs w:val="32"/>
        </w:rPr>
        <w:t>的精准治疗提供新策略。</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开发一种具有自主知识产权的原创性治疗方案，构建心肌靶向性热启动自杀基因系统，建立</w:t>
      </w:r>
      <w:r>
        <w:rPr>
          <w:rFonts w:ascii="仿宋_GB2312" w:eastAsia="仿宋_GB2312" w:hAnsi="Times New Roman" w:cs="Times New Roman" w:hint="eastAsia"/>
          <w:sz w:val="32"/>
          <w:szCs w:val="32"/>
        </w:rPr>
        <w:t>HIFU</w:t>
      </w:r>
      <w:r>
        <w:rPr>
          <w:rFonts w:ascii="仿宋_GB2312" w:eastAsia="仿宋_GB2312" w:hAnsi="Times New Roman" w:cs="Times New Roman" w:hint="eastAsia"/>
          <w:sz w:val="32"/>
          <w:szCs w:val="32"/>
        </w:rPr>
        <w:t>热效应剂量</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温度</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时间模型，发表高水平论文不少于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篇，授权发明专利不少于</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项，培养研究生不少于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名。</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：基于单细胞拉曼技术的肠癌超前诊断与菌群调控方</w:t>
      </w:r>
      <w:r>
        <w:rPr>
          <w:rFonts w:ascii="楷体_GB2312" w:eastAsia="楷体_GB2312" w:hAnsi="楷体_GB2312" w:cs="楷体_GB2312" w:hint="eastAsia"/>
          <w:sz w:val="32"/>
          <w:szCs w:val="32"/>
        </w:rPr>
        <w:lastRenderedPageBreak/>
        <w:t>法学研究及合成微生物组制剂开发</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针对肠癌肠息肉高发现状，在菌体和细胞水平上，开发基于单细胞拉曼光谱的高通量</w:t>
      </w:r>
      <w:r>
        <w:rPr>
          <w:rFonts w:ascii="仿宋_GB2312" w:eastAsia="仿宋_GB2312" w:hAnsi="Times New Roman" w:cs="Times New Roman" w:hint="eastAsia"/>
          <w:sz w:val="32"/>
          <w:szCs w:val="32"/>
        </w:rPr>
        <w:t>检测技术，研究肠道菌群与肠道细胞的作用关系，解析乳酸化修饰影响癌症机制以及肠道菌群演替轨迹，利用合成微生物组技术制备微生物组制剂，为肠癌诊疗菌群精准干预提供新途径。</w:t>
      </w:r>
    </w:p>
    <w:p w:rsidR="00F40406" w:rsidRDefault="009622A8">
      <w:pPr>
        <w:widowControl w:val="0"/>
        <w:ind w:firstLineChars="200" w:firstLine="643"/>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开发基于单细胞拉曼光谱和多组学数据的肠癌菌群干预疗效评估云平台</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个，实现对肠癌患者菌群干预疗效的实时监测和评估，诊断准确率</w:t>
      </w:r>
      <w:r>
        <w:rPr>
          <w:rFonts w:ascii="仿宋_GB2312" w:eastAsia="仿宋_GB2312" w:hAnsi="Times New Roman" w:cs="Times New Roman" w:hint="eastAsia"/>
          <w:sz w:val="32"/>
          <w:szCs w:val="32"/>
        </w:rPr>
        <w:t>&gt;92%</w:t>
      </w:r>
      <w:r>
        <w:rPr>
          <w:rFonts w:ascii="仿宋_GB2312" w:eastAsia="仿宋_GB2312" w:hAnsi="Times New Roman" w:cs="Times New Roman" w:hint="eastAsia"/>
          <w:sz w:val="32"/>
          <w:szCs w:val="32"/>
        </w:rPr>
        <w:t>。筛选具有肠癌防治功效的高活性功能菌株</w:t>
      </w:r>
      <w:r>
        <w:rPr>
          <w:rFonts w:ascii="仿宋_GB2312" w:eastAsia="仿宋_GB2312" w:hAnsi="Times New Roman" w:cs="Times New Roman" w:hint="eastAsia"/>
          <w:sz w:val="32"/>
          <w:szCs w:val="32"/>
        </w:rPr>
        <w:t>3-5</w:t>
      </w:r>
      <w:r>
        <w:rPr>
          <w:rFonts w:ascii="仿宋_GB2312" w:eastAsia="仿宋_GB2312" w:hAnsi="Times New Roman" w:cs="Times New Roman" w:hint="eastAsia"/>
          <w:sz w:val="32"/>
          <w:szCs w:val="32"/>
        </w:rPr>
        <w:t>株，开发合成微生物组制剂</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组，并完成动物模型验证。发表高水平论文</w:t>
      </w:r>
      <w:r>
        <w:rPr>
          <w:rFonts w:ascii="仿宋_GB2312" w:eastAsia="仿宋_GB2312" w:hAnsi="Times New Roman" w:cs="Times New Roman" w:hint="eastAsia"/>
          <w:sz w:val="32"/>
          <w:szCs w:val="32"/>
        </w:rPr>
        <w:t>2-3</w:t>
      </w:r>
      <w:r>
        <w:rPr>
          <w:rFonts w:ascii="仿宋_GB2312" w:eastAsia="仿宋_GB2312" w:hAnsi="Times New Roman" w:cs="Times New Roman" w:hint="eastAsia"/>
          <w:sz w:val="32"/>
          <w:szCs w:val="32"/>
        </w:rPr>
        <w:t>篇，授权发明专利</w:t>
      </w:r>
      <w:r>
        <w:rPr>
          <w:rFonts w:ascii="仿宋_GB2312" w:eastAsia="仿宋_GB2312" w:hAnsi="Times New Roman" w:cs="Times New Roman" w:hint="eastAsia"/>
          <w:sz w:val="32"/>
          <w:szCs w:val="32"/>
        </w:rPr>
        <w:t>2-3</w:t>
      </w:r>
      <w:r>
        <w:rPr>
          <w:rFonts w:ascii="仿宋_GB2312" w:eastAsia="仿宋_GB2312" w:hAnsi="Times New Roman" w:cs="Times New Roman" w:hint="eastAsia"/>
          <w:sz w:val="32"/>
          <w:szCs w:val="32"/>
        </w:rPr>
        <w:t>项，培养研究生不少于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名。</w:t>
      </w:r>
    </w:p>
    <w:p w:rsidR="00F40406" w:rsidRDefault="009622A8">
      <w:pPr>
        <w:widowControl w:val="0"/>
        <w:ind w:firstLineChars="200" w:firstLine="640"/>
        <w:rPr>
          <w:rFonts w:ascii="楷体_GB2312" w:eastAsia="楷体_GB2312" w:hAnsi="楷体_GB2312" w:cs="楷体_GB2312"/>
          <w:sz w:val="32"/>
          <w:szCs w:val="32"/>
        </w:rPr>
      </w:pPr>
      <w:r>
        <w:rPr>
          <w:rFonts w:ascii="黑体" w:eastAsia="黑体" w:hAnsi="黑体" w:hint="eastAsia"/>
          <w:sz w:val="32"/>
          <w:szCs w:val="32"/>
        </w:rPr>
        <w:t>二、低空经济领域</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方向：工业无人机高性能润</w:t>
      </w:r>
      <w:r>
        <w:rPr>
          <w:rFonts w:ascii="楷体_GB2312" w:eastAsia="楷体_GB2312" w:hAnsi="楷体_GB2312" w:cs="楷体_GB2312" w:hint="eastAsia"/>
          <w:sz w:val="32"/>
          <w:szCs w:val="32"/>
        </w:rPr>
        <w:t>滑材料极压抗磨与长效防护关键技术研究</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围绕工业无人机在高载荷、高频振动、高低温交变等极端工况对润滑材料提出的高性能需求，开展极压抗磨功能稠化剂与高性能添加剂的分子设计与合成优选、协同润滑机制及长效防护性能研究，实现润滑材料在工业无人机极端工况下的自适应防护与长效延寿。</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：研制出不少于</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种高性能极压抗磨润滑脂；摩擦系数≤</w:t>
      </w:r>
      <w:r>
        <w:rPr>
          <w:rFonts w:ascii="仿宋_GB2312" w:eastAsia="仿宋_GB2312" w:hAnsi="Times New Roman" w:cs="Times New Roman" w:hint="eastAsia"/>
          <w:sz w:val="32"/>
          <w:szCs w:val="32"/>
        </w:rPr>
        <w:t>0.05</w:t>
      </w:r>
      <w:r>
        <w:rPr>
          <w:rFonts w:ascii="仿宋_GB2312" w:eastAsia="仿宋_GB2312" w:hAnsi="Times New Roman" w:cs="Times New Roman" w:hint="eastAsia"/>
          <w:sz w:val="32"/>
          <w:szCs w:val="32"/>
        </w:rPr>
        <w:t>，磨斑直径≤</w:t>
      </w:r>
      <w:r>
        <w:rPr>
          <w:rFonts w:ascii="仿宋_GB2312" w:eastAsia="仿宋_GB2312" w:hAnsi="Times New Roman" w:cs="Times New Roman" w:hint="eastAsia"/>
          <w:sz w:val="32"/>
          <w:szCs w:val="32"/>
        </w:rPr>
        <w:t>0.4mm</w:t>
      </w:r>
      <w:r>
        <w:rPr>
          <w:rFonts w:ascii="仿宋_GB2312" w:eastAsia="仿宋_GB2312" w:hAnsi="Times New Roman" w:cs="Times New Roman" w:hint="eastAsia"/>
          <w:sz w:val="32"/>
          <w:szCs w:val="32"/>
        </w:rPr>
        <w:t>，极压性能（最大无卡咬负荷，</w:t>
      </w:r>
      <w:r>
        <w:rPr>
          <w:rFonts w:ascii="仿宋_GB2312" w:eastAsia="仿宋_GB2312" w:hAnsi="Times New Roman" w:cs="Times New Roman" w:hint="eastAsia"/>
          <w:sz w:val="32"/>
          <w:szCs w:val="32"/>
        </w:rPr>
        <w:lastRenderedPageBreak/>
        <w:t>PB</w:t>
      </w:r>
      <w:r>
        <w:rPr>
          <w:rFonts w:ascii="仿宋_GB2312" w:eastAsia="仿宋_GB2312" w:hAnsi="Times New Roman" w:cs="Times New Roman" w:hint="eastAsia"/>
          <w:sz w:val="32"/>
          <w:szCs w:val="32"/>
        </w:rPr>
        <w:t>值）≥</w:t>
      </w:r>
      <w:r>
        <w:rPr>
          <w:rFonts w:ascii="仿宋_GB2312" w:eastAsia="仿宋_GB2312" w:hAnsi="Times New Roman" w:cs="Times New Roman" w:hint="eastAsia"/>
          <w:sz w:val="32"/>
          <w:szCs w:val="32"/>
        </w:rPr>
        <w:t>1000N</w:t>
      </w:r>
      <w:r>
        <w:rPr>
          <w:rFonts w:ascii="仿宋_GB2312" w:eastAsia="仿宋_GB2312" w:hAnsi="Times New Roman" w:cs="Times New Roman" w:hint="eastAsia"/>
          <w:sz w:val="32"/>
          <w:szCs w:val="32"/>
        </w:rPr>
        <w:t>；盐雾环境下防锈等级≥</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级；完成无人机模拟台架寿命测试≥</w:t>
      </w:r>
      <w:r>
        <w:rPr>
          <w:rFonts w:ascii="仿宋_GB2312" w:eastAsia="仿宋_GB2312" w:hAnsi="Times New Roman" w:cs="Times New Roman" w:hint="eastAsia"/>
          <w:sz w:val="32"/>
          <w:szCs w:val="32"/>
        </w:rPr>
        <w:t>5000</w:t>
      </w:r>
      <w:r>
        <w:rPr>
          <w:rFonts w:ascii="仿宋_GB2312" w:eastAsia="仿宋_GB2312" w:hAnsi="Times New Roman" w:cs="Times New Roman" w:hint="eastAsia"/>
          <w:sz w:val="32"/>
          <w:szCs w:val="32"/>
        </w:rPr>
        <w:t>小时；在高水平期刊发表论文不少于</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篇，授权发明专利不少于</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件，培养研究生不少于</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名。</w:t>
      </w:r>
    </w:p>
    <w:p w:rsidR="00F40406" w:rsidRDefault="009622A8">
      <w:pPr>
        <w:pStyle w:val="a3"/>
        <w:spacing w:after="0"/>
        <w:ind w:firstLineChars="200" w:firstLine="640"/>
      </w:pPr>
      <w:r>
        <w:rPr>
          <w:rFonts w:ascii="黑体" w:eastAsia="黑体" w:hAnsi="黑体" w:hint="eastAsia"/>
          <w:sz w:val="32"/>
          <w:szCs w:val="32"/>
        </w:rPr>
        <w:t>三、新一代信息技术领域</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方向：车载大容量电光调制芯片性能及整车光通信架构研究</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：聚焦轨道车辆智能化对高带宽、低时延与高可靠信息互联的需求，开展车载高性能电光调制芯片及光通信架构研究，揭示强场约束与高非线性材料对高速电光调制性能</w:t>
      </w:r>
      <w:r>
        <w:rPr>
          <w:rFonts w:ascii="仿宋_GB2312" w:eastAsia="仿宋_GB2312" w:hAnsi="Times New Roman" w:cs="Times New Roman" w:hint="eastAsia"/>
          <w:sz w:val="32"/>
          <w:szCs w:val="32"/>
        </w:rPr>
        <w:t>极限的作用机理，形成新型高速电光调制原理与方法、硅光子</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电光材料异质跨界面多物理场耦合建模与实验表征方法，实现车载与车地光互联系统的大容量高可靠低功耗实时传输，构建适配高速列车的整车光通信网络的架构范式，为青岛轨道交通产业的信息化升级提供科学基础。</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：薄膜电光系数</w:t>
      </w:r>
      <w:r>
        <w:rPr>
          <w:rFonts w:ascii="仿宋_GB2312" w:eastAsia="仿宋_GB2312" w:hAnsi="Times New Roman" w:cs="Times New Roman" w:hint="eastAsia"/>
          <w:sz w:val="32"/>
          <w:szCs w:val="32"/>
        </w:rPr>
        <w:t>&gt;300 pm/V</w:t>
      </w:r>
      <w:r>
        <w:rPr>
          <w:rFonts w:ascii="仿宋_GB2312" w:eastAsia="仿宋_GB2312" w:hAnsi="Times New Roman" w:cs="Times New Roman" w:hint="eastAsia"/>
          <w:sz w:val="32"/>
          <w:szCs w:val="32"/>
        </w:rPr>
        <w:t>，电光调制芯片带宽</w:t>
      </w:r>
      <w:r>
        <w:rPr>
          <w:rFonts w:ascii="仿宋_GB2312" w:eastAsia="仿宋_GB2312" w:hAnsi="Times New Roman" w:cs="Times New Roman" w:hint="eastAsia"/>
          <w:sz w:val="32"/>
          <w:szCs w:val="32"/>
        </w:rPr>
        <w:t>&gt;110 GHz</w:t>
      </w:r>
      <w:r>
        <w:rPr>
          <w:rFonts w:ascii="仿宋_GB2312" w:eastAsia="仿宋_GB2312" w:hAnsi="Times New Roman" w:cs="Times New Roman" w:hint="eastAsia"/>
          <w:sz w:val="32"/>
          <w:szCs w:val="32"/>
        </w:rPr>
        <w:t>，半波电压长度乘积（</w:t>
      </w:r>
      <w:r>
        <w:rPr>
          <w:rFonts w:ascii="仿宋_GB2312" w:eastAsia="仿宋_GB2312" w:hAnsi="Times New Roman" w:cs="Times New Roman" w:hint="eastAsia"/>
          <w:sz w:val="32"/>
          <w:szCs w:val="32"/>
        </w:rPr>
        <w:t>V</w:t>
      </w:r>
      <w:r>
        <w:rPr>
          <w:rFonts w:ascii="仿宋_GB2312" w:eastAsia="仿宋_GB2312" w:hAnsi="Times New Roman" w:cs="Times New Roman" w:hint="eastAsia"/>
          <w:sz w:val="32"/>
          <w:szCs w:val="32"/>
        </w:rPr>
        <w:t>π</w:t>
      </w:r>
      <w:r>
        <w:rPr>
          <w:rFonts w:ascii="仿宋_GB2312" w:eastAsia="仿宋_GB2312" w:hAnsi="Times New Roman" w:cs="Times New Roman" w:hint="eastAsia"/>
          <w:sz w:val="32"/>
          <w:szCs w:val="32"/>
        </w:rPr>
        <w:t>L</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&lt; 2 V</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mm</w:t>
      </w:r>
      <w:r>
        <w:rPr>
          <w:rFonts w:ascii="仿宋_GB2312" w:eastAsia="仿宋_GB2312" w:hAnsi="Times New Roman" w:cs="Times New Roman" w:hint="eastAsia"/>
          <w:sz w:val="32"/>
          <w:szCs w:val="32"/>
        </w:rPr>
        <w:t>（调制长度</w:t>
      </w:r>
      <w:r>
        <w:rPr>
          <w:rFonts w:ascii="仿宋_GB2312" w:eastAsia="仿宋_GB2312" w:hAnsi="Times New Roman" w:cs="Times New Roman" w:hint="eastAsia"/>
          <w:sz w:val="32"/>
          <w:szCs w:val="32"/>
        </w:rPr>
        <w:t>&lt;1.0 mm</w:t>
      </w:r>
      <w:r>
        <w:rPr>
          <w:rFonts w:ascii="仿宋_GB2312" w:eastAsia="仿宋_GB2312" w:hAnsi="Times New Roman" w:cs="Times New Roman" w:hint="eastAsia"/>
          <w:sz w:val="32"/>
          <w:szCs w:val="32"/>
        </w:rPr>
        <w:t>），单比特能耗</w:t>
      </w:r>
      <w:r>
        <w:rPr>
          <w:rFonts w:ascii="仿宋_GB2312" w:eastAsia="仿宋_GB2312" w:hAnsi="Times New Roman" w:cs="Times New Roman" w:hint="eastAsia"/>
          <w:sz w:val="32"/>
          <w:szCs w:val="32"/>
        </w:rPr>
        <w:t xml:space="preserve"> &lt;100 fJ/bit</w:t>
      </w:r>
      <w:r>
        <w:rPr>
          <w:rFonts w:ascii="仿宋_GB2312" w:eastAsia="仿宋_GB2312" w:hAnsi="Times New Roman" w:cs="Times New Roman" w:hint="eastAsia"/>
          <w:sz w:val="32"/>
          <w:szCs w:val="32"/>
        </w:rPr>
        <w:t>，整车光通信网络架构方案适用车厢数≥</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，可覆盖多节点数据交互场景；在高水平期刊发表</w:t>
      </w:r>
      <w:r>
        <w:rPr>
          <w:rFonts w:ascii="仿宋_GB2312" w:eastAsia="仿宋_GB2312" w:hAnsi="Times New Roman" w:cs="Times New Roman" w:hint="eastAsia"/>
          <w:sz w:val="32"/>
          <w:szCs w:val="32"/>
        </w:rPr>
        <w:t>论文不少于</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篇，授权发明专利不少于</w:t>
      </w:r>
      <w:r>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件，培养研究生不少于</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名。</w:t>
      </w:r>
    </w:p>
    <w:p w:rsidR="00F40406" w:rsidRDefault="009622A8">
      <w:pPr>
        <w:pStyle w:val="a3"/>
        <w:spacing w:after="0"/>
        <w:ind w:firstLineChars="200" w:firstLine="640"/>
      </w:pPr>
      <w:r>
        <w:rPr>
          <w:rFonts w:ascii="黑体" w:eastAsia="黑体" w:hAnsi="黑体" w:hint="eastAsia"/>
          <w:sz w:val="32"/>
          <w:szCs w:val="32"/>
        </w:rPr>
        <w:t>四、高端化工与新材料</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：硅胶固废分子筛绿色合成及其废塑料资源化利用</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：针对废塑料资源化以及工业固废高值化转化利用难题，开展硅胶行业固废合成高性能分子筛及废塑料资源化研究，</w:t>
      </w:r>
      <w:r>
        <w:rPr>
          <w:rFonts w:ascii="仿宋_GB2312" w:eastAsia="仿宋_GB2312" w:hAnsi="Times New Roman" w:cs="Times New Roman" w:hint="eastAsia"/>
          <w:sz w:val="32"/>
          <w:szCs w:val="32"/>
        </w:rPr>
        <w:lastRenderedPageBreak/>
        <w:t>阐明分子筛晶体生长与溶解机理，揭示离子、分子和纳米颗粒之间的相互作用规律，实现无氟、无模板剂、无添加剂体系分子筛绿色生产，明确影响分子筛孔道结构、尺寸形貌和元素分布的关键因素，实现分子筛的理性设计与合成。</w:t>
      </w:r>
    </w:p>
    <w:p w:rsidR="00F40406" w:rsidRDefault="009622A8">
      <w:pPr>
        <w:widowControl w:val="0"/>
        <w:ind w:firstLineChars="200" w:firstLine="643"/>
        <w:rPr>
          <w:rFonts w:ascii="仿宋_GB2312" w:eastAsia="仿宋_GB2312" w:hAnsi="Times New Roman" w:cs="Times New Roman"/>
          <w:sz w:val="32"/>
          <w:szCs w:val="32"/>
        </w:rPr>
      </w:pPr>
      <w:r>
        <w:rPr>
          <w:rFonts w:ascii="Times New Roman" w:eastAsia="仿宋_GB2312" w:hAnsi="Times New Roman" w:cs="Times New Roman"/>
          <w:b/>
          <w:bCs/>
          <w:color w:val="000000"/>
          <w:sz w:val="32"/>
          <w:szCs w:val="32"/>
        </w:rPr>
        <w:t>考核指标：</w:t>
      </w:r>
      <w:r>
        <w:rPr>
          <w:rFonts w:ascii="Times New Roman" w:eastAsia="仿宋_GB2312" w:hAnsi="Times New Roman" w:cs="Times New Roman"/>
          <w:color w:val="000000"/>
          <w:sz w:val="32"/>
          <w:szCs w:val="32"/>
        </w:rPr>
        <w:t>利</w:t>
      </w:r>
      <w:r>
        <w:rPr>
          <w:rFonts w:ascii="仿宋_GB2312" w:eastAsia="仿宋_GB2312" w:hAnsi="Times New Roman" w:cs="Times New Roman"/>
          <w:sz w:val="32"/>
          <w:szCs w:val="32"/>
        </w:rPr>
        <w:t>用碱性和酸性硅胶废料开发纳米多级孔分子筛形貌调</w:t>
      </w:r>
      <w:r>
        <w:rPr>
          <w:rFonts w:ascii="仿宋_GB2312" w:eastAsia="仿宋_GB2312" w:hAnsi="Times New Roman" w:cs="Times New Roman"/>
          <w:sz w:val="32"/>
          <w:szCs w:val="32"/>
        </w:rPr>
        <w:t>控方法，实现三种以上分子筛催化剂无氟、无模板剂、无添加剂绿色制备工艺，废塑料催化裂解单程转化率不低于</w:t>
      </w:r>
      <w:r>
        <w:rPr>
          <w:rFonts w:ascii="仿宋_GB2312" w:eastAsia="仿宋_GB2312" w:hAnsi="Times New Roman" w:cs="Times New Roman"/>
          <w:sz w:val="32"/>
          <w:szCs w:val="32"/>
        </w:rPr>
        <w:t>95%</w:t>
      </w:r>
      <w:r>
        <w:rPr>
          <w:rFonts w:ascii="仿宋_GB2312" w:eastAsia="仿宋_GB2312" w:hAnsi="Times New Roman" w:cs="Times New Roman"/>
          <w:sz w:val="32"/>
          <w:szCs w:val="32"/>
        </w:rPr>
        <w:t>，低碳烯烃、芳烃或汽柴油等高值产品选择性不低于</w:t>
      </w:r>
      <w:r>
        <w:rPr>
          <w:rFonts w:ascii="仿宋_GB2312" w:eastAsia="仿宋_GB2312" w:hAnsi="Times New Roman" w:cs="Times New Roman"/>
          <w:sz w:val="32"/>
          <w:szCs w:val="32"/>
        </w:rPr>
        <w:t>65%</w:t>
      </w:r>
      <w:r>
        <w:rPr>
          <w:rFonts w:ascii="仿宋_GB2312" w:eastAsia="仿宋_GB2312" w:hAnsi="Times New Roman" w:cs="Times New Roman"/>
          <w:sz w:val="32"/>
          <w:szCs w:val="32"/>
        </w:rPr>
        <w:t>，依托我市企业完成相关技术的中试验证。在高水平期刊发表论文不少于</w:t>
      </w:r>
      <w:r>
        <w:rPr>
          <w:rFonts w:ascii="仿宋_GB2312" w:eastAsia="仿宋_GB2312" w:hAnsi="Times New Roman" w:cs="Times New Roman"/>
          <w:sz w:val="32"/>
          <w:szCs w:val="32"/>
        </w:rPr>
        <w:t>6</w:t>
      </w:r>
      <w:r>
        <w:rPr>
          <w:rFonts w:ascii="仿宋_GB2312" w:eastAsia="仿宋_GB2312" w:hAnsi="Times New Roman" w:cs="Times New Roman"/>
          <w:sz w:val="32"/>
          <w:szCs w:val="32"/>
        </w:rPr>
        <w:t>篇，授权发明专利不少于</w:t>
      </w:r>
      <w:r>
        <w:rPr>
          <w:rFonts w:ascii="仿宋_GB2312" w:eastAsia="仿宋_GB2312" w:hAnsi="Times New Roman" w:cs="Times New Roman"/>
          <w:sz w:val="32"/>
          <w:szCs w:val="32"/>
        </w:rPr>
        <w:t>3</w:t>
      </w:r>
      <w:r>
        <w:rPr>
          <w:rFonts w:ascii="仿宋_GB2312" w:eastAsia="仿宋_GB2312" w:hAnsi="Times New Roman" w:cs="Times New Roman"/>
          <w:sz w:val="32"/>
          <w:szCs w:val="32"/>
        </w:rPr>
        <w:t>件，引进和培养省部级以上人才不少于</w:t>
      </w:r>
      <w:r>
        <w:rPr>
          <w:rFonts w:ascii="仿宋_GB2312" w:eastAsia="仿宋_GB2312" w:hAnsi="Times New Roman" w:cs="Times New Roman"/>
          <w:sz w:val="32"/>
          <w:szCs w:val="32"/>
        </w:rPr>
        <w:t>2</w:t>
      </w:r>
      <w:r>
        <w:rPr>
          <w:rFonts w:ascii="仿宋_GB2312" w:eastAsia="仿宋_GB2312" w:hAnsi="Times New Roman" w:cs="Times New Roman"/>
          <w:sz w:val="32"/>
          <w:szCs w:val="32"/>
        </w:rPr>
        <w:t>人，获批市级以上工程技术中心或者实验室，培养研究生不少于</w:t>
      </w:r>
      <w:r>
        <w:rPr>
          <w:rFonts w:ascii="仿宋_GB2312" w:eastAsia="仿宋_GB2312" w:hAnsi="Times New Roman" w:cs="Times New Roman"/>
          <w:sz w:val="32"/>
          <w:szCs w:val="32"/>
        </w:rPr>
        <w:t>8</w:t>
      </w:r>
      <w:r>
        <w:rPr>
          <w:rFonts w:ascii="仿宋_GB2312" w:eastAsia="仿宋_GB2312" w:hAnsi="Times New Roman" w:cs="Times New Roman"/>
          <w:sz w:val="32"/>
          <w:szCs w:val="32"/>
        </w:rPr>
        <w:t>名。</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：海工装备用特种抗低温耐蚀钢设计制备与性能调控研究</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：针对极端海洋环境下合金钢面临的低温、腐蚀、断裂耦合损伤问题，开展极端环境适应性特种抗低温耐蚀钢设</w:t>
      </w:r>
      <w:r>
        <w:rPr>
          <w:rFonts w:ascii="仿宋_GB2312" w:eastAsia="仿宋_GB2312" w:hAnsi="Times New Roman" w:cs="Times New Roman" w:hint="eastAsia"/>
          <w:sz w:val="32"/>
          <w:szCs w:val="32"/>
        </w:rPr>
        <w:t>计，突破长寿命特钢制备技术与使役性能评价技术，揭示低温韧塑化机制与耐蚀机理，完成特种抗低温耐蚀钢的工业试制与评价，为海工装备安全服役提供技术支持。</w:t>
      </w:r>
    </w:p>
    <w:p w:rsidR="00F40406" w:rsidRDefault="009622A8">
      <w:pPr>
        <w:widowControl w:val="0"/>
        <w:ind w:firstLineChars="200" w:firstLine="643"/>
        <w:rPr>
          <w:rFonts w:ascii="仿宋_GB2312" w:eastAsia="仿宋_GB2312" w:hAnsi="Times New Roman" w:cs="Times New Roman"/>
          <w:sz w:val="32"/>
          <w:szCs w:val="32"/>
        </w:rPr>
      </w:pPr>
      <w:r>
        <w:rPr>
          <w:rFonts w:ascii="Times New Roman" w:eastAsia="仿宋_GB2312" w:hAnsi="Times New Roman" w:cs="Times New Roman"/>
          <w:b/>
          <w:bCs/>
          <w:color w:val="000000"/>
          <w:sz w:val="32"/>
          <w:szCs w:val="32"/>
        </w:rPr>
        <w:t>考核指标：</w:t>
      </w:r>
      <w:r>
        <w:rPr>
          <w:rFonts w:ascii="Times New Roman" w:eastAsia="仿宋_GB2312" w:hAnsi="Times New Roman" w:cs="Times New Roman"/>
          <w:color w:val="000000"/>
          <w:sz w:val="32"/>
          <w:szCs w:val="32"/>
        </w:rPr>
        <w:t>开</w:t>
      </w:r>
      <w:r>
        <w:rPr>
          <w:rFonts w:ascii="仿宋_GB2312" w:eastAsia="仿宋_GB2312" w:hAnsi="Times New Roman" w:cs="Times New Roman"/>
          <w:sz w:val="32"/>
          <w:szCs w:val="32"/>
        </w:rPr>
        <w:t>发耐低温冻融、耐海水腐蚀、抗环境敏感断裂（脆断、疲劳）的特钢材料，完成特种抗低温耐蚀钢的工业试制；特钢</w:t>
      </w:r>
      <w:r>
        <w:rPr>
          <w:rFonts w:ascii="仿宋_GB2312" w:eastAsia="仿宋_GB2312" w:hAnsi="Times New Roman" w:cs="Times New Roman"/>
          <w:sz w:val="32"/>
          <w:szCs w:val="32"/>
        </w:rPr>
        <w:t>-40</w:t>
      </w:r>
      <w:r>
        <w:rPr>
          <w:rFonts w:ascii="仿宋_GB2312" w:eastAsia="仿宋_GB2312" w:hAnsi="Times New Roman" w:cs="Times New Roman"/>
          <w:sz w:val="32"/>
          <w:szCs w:val="32"/>
        </w:rPr>
        <w:t>℃</w:t>
      </w:r>
      <w:r>
        <w:rPr>
          <w:rFonts w:ascii="仿宋_GB2312" w:eastAsia="仿宋_GB2312" w:hAnsi="Times New Roman" w:cs="Times New Roman"/>
          <w:sz w:val="32"/>
          <w:szCs w:val="32"/>
        </w:rPr>
        <w:t>冲击功</w:t>
      </w:r>
      <w:r>
        <w:rPr>
          <w:rFonts w:ascii="仿宋_GB2312" w:eastAsia="仿宋_GB2312" w:hAnsi="Times New Roman" w:cs="Times New Roman"/>
          <w:sz w:val="32"/>
          <w:szCs w:val="32"/>
        </w:rPr>
        <w:t>≥</w:t>
      </w:r>
      <w:r>
        <w:rPr>
          <w:rFonts w:ascii="仿宋_GB2312" w:eastAsia="仿宋_GB2312" w:hAnsi="Times New Roman" w:cs="Times New Roman"/>
          <w:sz w:val="32"/>
          <w:szCs w:val="32"/>
        </w:rPr>
        <w:t>250J</w:t>
      </w:r>
      <w:r>
        <w:rPr>
          <w:rFonts w:ascii="仿宋_GB2312" w:eastAsia="仿宋_GB2312" w:hAnsi="Times New Roman" w:cs="Times New Roman"/>
          <w:sz w:val="32"/>
          <w:szCs w:val="32"/>
        </w:rPr>
        <w:t>，腐蚀活性夹杂物密度</w:t>
      </w:r>
      <w:r>
        <w:rPr>
          <w:rFonts w:ascii="仿宋_GB2312" w:eastAsia="仿宋_GB2312" w:hAnsi="Times New Roman" w:cs="Times New Roman"/>
          <w:sz w:val="32"/>
          <w:szCs w:val="32"/>
        </w:rPr>
        <w:t>≤</w:t>
      </w:r>
      <w:r>
        <w:rPr>
          <w:rFonts w:ascii="仿宋_GB2312" w:eastAsia="仿宋_GB2312" w:hAnsi="Times New Roman" w:cs="Times New Roman"/>
          <w:sz w:val="32"/>
          <w:szCs w:val="32"/>
        </w:rPr>
        <w:t>10</w:t>
      </w:r>
      <w:r>
        <w:rPr>
          <w:rFonts w:ascii="仿宋_GB2312" w:eastAsia="仿宋_GB2312" w:hAnsi="Times New Roman" w:cs="Times New Roman"/>
          <w:sz w:val="32"/>
          <w:szCs w:val="32"/>
        </w:rPr>
        <w:t>个</w:t>
      </w:r>
      <w:r>
        <w:rPr>
          <w:rFonts w:ascii="仿宋_GB2312" w:eastAsia="仿宋_GB2312" w:hAnsi="Times New Roman" w:cs="Times New Roman"/>
          <w:sz w:val="32"/>
          <w:szCs w:val="32"/>
        </w:rPr>
        <w:t>/mm2</w:t>
      </w:r>
      <w:r>
        <w:rPr>
          <w:rFonts w:ascii="仿宋_GB2312" w:eastAsia="仿宋_GB2312" w:hAnsi="Times New Roman" w:cs="Times New Roman"/>
          <w:sz w:val="32"/>
          <w:szCs w:val="32"/>
        </w:rPr>
        <w:t>；焊接</w:t>
      </w:r>
      <w:r>
        <w:rPr>
          <w:rFonts w:ascii="仿宋_GB2312" w:eastAsia="仿宋_GB2312" w:hAnsi="Times New Roman" w:cs="Times New Roman"/>
          <w:sz w:val="32"/>
          <w:szCs w:val="32"/>
        </w:rPr>
        <w:lastRenderedPageBreak/>
        <w:t>接头疲劳强度</w:t>
      </w:r>
      <w:r>
        <w:rPr>
          <w:rFonts w:ascii="仿宋_GB2312" w:eastAsia="仿宋_GB2312" w:hAnsi="Times New Roman" w:cs="Times New Roman"/>
          <w:sz w:val="32"/>
          <w:szCs w:val="32"/>
        </w:rPr>
        <w:t>R=0.1</w:t>
      </w:r>
      <w:r>
        <w:rPr>
          <w:rFonts w:ascii="仿宋_GB2312" w:eastAsia="仿宋_GB2312" w:hAnsi="Times New Roman" w:cs="Times New Roman"/>
          <w:sz w:val="32"/>
          <w:szCs w:val="32"/>
        </w:rPr>
        <w:t>、</w:t>
      </w:r>
      <w:r>
        <w:rPr>
          <w:rFonts w:ascii="仿宋_GB2312" w:eastAsia="仿宋_GB2312" w:hAnsi="Times New Roman" w:cs="Times New Roman"/>
          <w:sz w:val="32"/>
          <w:szCs w:val="32"/>
        </w:rPr>
        <w:t>200</w:t>
      </w:r>
      <w:r>
        <w:rPr>
          <w:rFonts w:ascii="仿宋_GB2312" w:eastAsia="仿宋_GB2312" w:hAnsi="Times New Roman" w:cs="Times New Roman"/>
          <w:sz w:val="32"/>
          <w:szCs w:val="32"/>
        </w:rPr>
        <w:t>万次拉拉疲劳应力幅</w:t>
      </w:r>
      <w:r>
        <w:rPr>
          <w:rFonts w:ascii="仿宋_GB2312" w:eastAsia="仿宋_GB2312" w:hAnsi="Times New Roman" w:cs="Times New Roman"/>
          <w:sz w:val="32"/>
          <w:szCs w:val="32"/>
        </w:rPr>
        <w:t>≥</w:t>
      </w:r>
      <w:r>
        <w:rPr>
          <w:rFonts w:ascii="仿宋_GB2312" w:eastAsia="仿宋_GB2312" w:hAnsi="Times New Roman" w:cs="Times New Roman"/>
          <w:sz w:val="32"/>
          <w:szCs w:val="32"/>
        </w:rPr>
        <w:t>150MPa</w:t>
      </w:r>
      <w:r>
        <w:rPr>
          <w:rFonts w:ascii="仿宋_GB2312" w:eastAsia="仿宋_GB2312" w:hAnsi="Times New Roman" w:cs="Times New Roman"/>
          <w:sz w:val="32"/>
          <w:szCs w:val="32"/>
        </w:rPr>
        <w:t>，</w:t>
      </w:r>
      <w:r>
        <w:rPr>
          <w:rFonts w:ascii="仿宋_GB2312" w:eastAsia="仿宋_GB2312" w:hAnsi="Times New Roman" w:cs="Times New Roman"/>
          <w:sz w:val="32"/>
          <w:szCs w:val="32"/>
        </w:rPr>
        <w:t>-40</w:t>
      </w:r>
      <w:r>
        <w:rPr>
          <w:rFonts w:ascii="仿宋_GB2312" w:eastAsia="仿宋_GB2312" w:hAnsi="Times New Roman" w:cs="Times New Roman"/>
          <w:sz w:val="32"/>
          <w:szCs w:val="32"/>
        </w:rPr>
        <w:t>℃</w:t>
      </w:r>
      <w:r>
        <w:rPr>
          <w:rFonts w:ascii="仿宋_GB2312" w:eastAsia="仿宋_GB2312" w:hAnsi="Times New Roman" w:cs="Times New Roman"/>
          <w:sz w:val="32"/>
          <w:szCs w:val="32"/>
        </w:rPr>
        <w:t>低温冲击功</w:t>
      </w:r>
      <w:r>
        <w:rPr>
          <w:rFonts w:ascii="仿宋_GB2312" w:eastAsia="仿宋_GB2312" w:hAnsi="Times New Roman" w:cs="Times New Roman"/>
          <w:sz w:val="32"/>
          <w:szCs w:val="32"/>
        </w:rPr>
        <w:t>≥</w:t>
      </w:r>
      <w:r>
        <w:rPr>
          <w:rFonts w:ascii="仿宋_GB2312" w:eastAsia="仿宋_GB2312" w:hAnsi="Times New Roman" w:cs="Times New Roman"/>
          <w:sz w:val="32"/>
          <w:szCs w:val="32"/>
        </w:rPr>
        <w:t>150J</w:t>
      </w:r>
      <w:r>
        <w:rPr>
          <w:rFonts w:ascii="仿宋_GB2312" w:eastAsia="仿宋_GB2312" w:hAnsi="Times New Roman" w:cs="Times New Roman"/>
          <w:sz w:val="32"/>
          <w:szCs w:val="32"/>
        </w:rPr>
        <w:t>，</w:t>
      </w:r>
      <w:r>
        <w:rPr>
          <w:rFonts w:ascii="仿宋_GB2312" w:eastAsia="仿宋_GB2312" w:hAnsi="Times New Roman" w:cs="Times New Roman"/>
          <w:sz w:val="32"/>
          <w:szCs w:val="32"/>
        </w:rPr>
        <w:t>CTOD</w:t>
      </w:r>
      <w:r>
        <w:rPr>
          <w:rFonts w:ascii="仿宋_GB2312" w:eastAsia="仿宋_GB2312" w:hAnsi="Times New Roman" w:cs="Times New Roman"/>
          <w:sz w:val="32"/>
          <w:szCs w:val="32"/>
        </w:rPr>
        <w:t>≥</w:t>
      </w:r>
      <w:r>
        <w:rPr>
          <w:rFonts w:ascii="仿宋_GB2312" w:eastAsia="仿宋_GB2312" w:hAnsi="Times New Roman" w:cs="Times New Roman"/>
          <w:sz w:val="32"/>
          <w:szCs w:val="32"/>
        </w:rPr>
        <w:t>0.6mm</w:t>
      </w:r>
      <w:r>
        <w:rPr>
          <w:rFonts w:ascii="仿宋_GB2312" w:eastAsia="仿宋_GB2312" w:hAnsi="Times New Roman" w:cs="Times New Roman"/>
          <w:sz w:val="32"/>
          <w:szCs w:val="32"/>
        </w:rPr>
        <w:t>；在高水平期刊发表论文不少于</w:t>
      </w:r>
      <w:r>
        <w:rPr>
          <w:rFonts w:ascii="仿宋_GB2312" w:eastAsia="仿宋_GB2312" w:hAnsi="Times New Roman" w:cs="Times New Roman"/>
          <w:sz w:val="32"/>
          <w:szCs w:val="32"/>
        </w:rPr>
        <w:t>8</w:t>
      </w:r>
      <w:r>
        <w:rPr>
          <w:rFonts w:ascii="仿宋_GB2312" w:eastAsia="仿宋_GB2312" w:hAnsi="Times New Roman" w:cs="Times New Roman"/>
          <w:sz w:val="32"/>
          <w:szCs w:val="32"/>
        </w:rPr>
        <w:t>篇，授权发明专利不少于</w:t>
      </w:r>
      <w:r>
        <w:rPr>
          <w:rFonts w:ascii="仿宋_GB2312" w:eastAsia="仿宋_GB2312" w:hAnsi="Times New Roman" w:cs="Times New Roman"/>
          <w:sz w:val="32"/>
          <w:szCs w:val="32"/>
        </w:rPr>
        <w:t>2</w:t>
      </w:r>
      <w:r>
        <w:rPr>
          <w:rFonts w:ascii="仿宋_GB2312" w:eastAsia="仿宋_GB2312" w:hAnsi="Times New Roman" w:cs="Times New Roman"/>
          <w:sz w:val="32"/>
          <w:szCs w:val="32"/>
        </w:rPr>
        <w:t>件，引育国家级</w:t>
      </w:r>
      <w:r>
        <w:rPr>
          <w:rFonts w:ascii="仿宋_GB2312" w:eastAsia="仿宋_GB2312" w:hAnsi="Times New Roman" w:cs="Times New Roman"/>
          <w:sz w:val="32"/>
          <w:szCs w:val="32"/>
        </w:rPr>
        <w:t>/</w:t>
      </w:r>
      <w:r>
        <w:rPr>
          <w:rFonts w:ascii="仿宋_GB2312" w:eastAsia="仿宋_GB2312" w:hAnsi="Times New Roman" w:cs="Times New Roman"/>
          <w:sz w:val="32"/>
          <w:szCs w:val="32"/>
        </w:rPr>
        <w:t>省部级人才不少于</w:t>
      </w:r>
      <w:r>
        <w:rPr>
          <w:rFonts w:ascii="仿宋_GB2312" w:eastAsia="仿宋_GB2312" w:hAnsi="Times New Roman" w:cs="Times New Roman"/>
          <w:sz w:val="32"/>
          <w:szCs w:val="32"/>
        </w:rPr>
        <w:t>2</w:t>
      </w:r>
      <w:r>
        <w:rPr>
          <w:rFonts w:ascii="仿宋_GB2312" w:eastAsia="仿宋_GB2312" w:hAnsi="Times New Roman" w:cs="Times New Roman"/>
          <w:sz w:val="32"/>
          <w:szCs w:val="32"/>
        </w:rPr>
        <w:t>名，培养研究生不少于</w:t>
      </w:r>
      <w:r>
        <w:rPr>
          <w:rFonts w:ascii="仿宋_GB2312" w:eastAsia="仿宋_GB2312" w:hAnsi="Times New Roman" w:cs="Times New Roman"/>
          <w:sz w:val="32"/>
          <w:szCs w:val="32"/>
        </w:rPr>
        <w:t>8</w:t>
      </w:r>
      <w:r>
        <w:rPr>
          <w:rFonts w:ascii="仿宋_GB2312" w:eastAsia="仿宋_GB2312" w:hAnsi="Times New Roman" w:cs="Times New Roman"/>
          <w:sz w:val="32"/>
          <w:szCs w:val="32"/>
        </w:rPr>
        <w:t>人。</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：二氧化碳加氢制丁二烯橡胶应用基础研究</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：针对橡胶轮胎行业对绿色丁二烯橡胶的迫切需求，构筑高效</w:t>
      </w:r>
      <w:r>
        <w:rPr>
          <w:rFonts w:ascii="仿宋_GB2312" w:eastAsia="仿宋_GB2312" w:hAnsi="Times New Roman" w:cs="Times New Roman" w:hint="eastAsia"/>
          <w:sz w:val="32"/>
          <w:szCs w:val="32"/>
        </w:rPr>
        <w:t>CO2</w:t>
      </w:r>
      <w:r>
        <w:rPr>
          <w:rFonts w:ascii="仿宋_GB2312" w:eastAsia="仿宋_GB2312" w:hAnsi="Times New Roman" w:cs="Times New Roman" w:hint="eastAsia"/>
          <w:sz w:val="32"/>
          <w:szCs w:val="32"/>
        </w:rPr>
        <w:t>制丁二烯橡胶催化剂体系；辨析催化活性位动态演变规律，揭示多活性位协同作用机理及产物调控机制；研究反应过程强化方法，建立</w:t>
      </w:r>
      <w:r>
        <w:rPr>
          <w:rFonts w:ascii="仿宋_GB2312" w:eastAsia="仿宋_GB2312" w:hAnsi="Times New Roman" w:cs="Times New Roman" w:hint="eastAsia"/>
          <w:sz w:val="32"/>
          <w:szCs w:val="32"/>
        </w:rPr>
        <w:t>CO2</w:t>
      </w:r>
      <w:r>
        <w:rPr>
          <w:rFonts w:ascii="仿宋_GB2312" w:eastAsia="仿宋_GB2312" w:hAnsi="Times New Roman" w:cs="Times New Roman" w:hint="eastAsia"/>
          <w:sz w:val="32"/>
          <w:szCs w:val="32"/>
        </w:rPr>
        <w:t>加氢制丁二烯橡胶全流程工艺路线，推动青岛市橡胶、塑料等行业的绿色化转型。</w:t>
      </w:r>
    </w:p>
    <w:p w:rsidR="00F40406" w:rsidRDefault="009622A8">
      <w:pPr>
        <w:widowControl w:val="0"/>
        <w:ind w:firstLineChars="200" w:firstLine="643"/>
        <w:rPr>
          <w:rFonts w:ascii="仿宋_GB2312" w:eastAsia="仿宋_GB2312" w:hAnsi="Times New Roman" w:cs="Times New Roman"/>
          <w:sz w:val="32"/>
          <w:szCs w:val="32"/>
        </w:rPr>
      </w:pPr>
      <w:r>
        <w:rPr>
          <w:rFonts w:ascii="Times New Roman" w:eastAsia="仿宋_GB2312" w:hAnsi="Times New Roman" w:cs="Times New Roman"/>
          <w:b/>
          <w:bCs/>
          <w:color w:val="000000"/>
          <w:sz w:val="32"/>
          <w:szCs w:val="32"/>
        </w:rPr>
        <w:t>考核指标：</w:t>
      </w:r>
      <w:r>
        <w:rPr>
          <w:rFonts w:ascii="仿宋_GB2312" w:eastAsia="仿宋_GB2312" w:hAnsi="Times New Roman" w:cs="Times New Roman"/>
          <w:sz w:val="32"/>
          <w:szCs w:val="32"/>
        </w:rPr>
        <w:t>精准构筑多功能活性位定向耦合的</w:t>
      </w:r>
      <w:r>
        <w:rPr>
          <w:rFonts w:ascii="仿宋_GB2312" w:eastAsia="仿宋_GB2312" w:hAnsi="Times New Roman" w:cs="Times New Roman"/>
          <w:sz w:val="32"/>
          <w:szCs w:val="32"/>
        </w:rPr>
        <w:t>CO2</w:t>
      </w:r>
      <w:r>
        <w:rPr>
          <w:rFonts w:ascii="仿宋_GB2312" w:eastAsia="仿宋_GB2312" w:hAnsi="Times New Roman" w:cs="Times New Roman"/>
          <w:sz w:val="32"/>
          <w:szCs w:val="32"/>
        </w:rPr>
        <w:t>加氢催化剂体系，明晰催化剂物化特性和构效关系；阐明</w:t>
      </w:r>
      <w:r>
        <w:rPr>
          <w:rFonts w:ascii="仿宋_GB2312" w:eastAsia="仿宋_GB2312" w:hAnsi="Times New Roman" w:cs="Times New Roman"/>
          <w:sz w:val="32"/>
          <w:szCs w:val="32"/>
        </w:rPr>
        <w:t>CO2</w:t>
      </w:r>
      <w:r>
        <w:rPr>
          <w:rFonts w:ascii="仿宋_GB2312" w:eastAsia="仿宋_GB2312" w:hAnsi="Times New Roman" w:cs="Times New Roman"/>
          <w:sz w:val="32"/>
          <w:szCs w:val="32"/>
        </w:rPr>
        <w:t>加氢催化反应机理以及反应过程强化方法，</w:t>
      </w:r>
      <w:r>
        <w:rPr>
          <w:rFonts w:ascii="仿宋_GB2312" w:eastAsia="仿宋_GB2312" w:hAnsi="Times New Roman" w:cs="Times New Roman"/>
          <w:sz w:val="32"/>
          <w:szCs w:val="32"/>
        </w:rPr>
        <w:t>CO2</w:t>
      </w:r>
      <w:r>
        <w:rPr>
          <w:rFonts w:ascii="仿宋_GB2312" w:eastAsia="仿宋_GB2312" w:hAnsi="Times New Roman" w:cs="Times New Roman"/>
          <w:sz w:val="32"/>
          <w:szCs w:val="32"/>
        </w:rPr>
        <w:t>单程转化率不低于</w:t>
      </w:r>
      <w:r>
        <w:rPr>
          <w:rFonts w:ascii="仿宋_GB2312" w:eastAsia="仿宋_GB2312" w:hAnsi="Times New Roman" w:cs="Times New Roman"/>
          <w:sz w:val="32"/>
          <w:szCs w:val="32"/>
        </w:rPr>
        <w:t>55%</w:t>
      </w:r>
      <w:r>
        <w:rPr>
          <w:rFonts w:ascii="仿宋_GB2312" w:eastAsia="仿宋_GB2312" w:hAnsi="Times New Roman" w:cs="Times New Roman"/>
          <w:sz w:val="32"/>
          <w:szCs w:val="32"/>
        </w:rPr>
        <w:t>，乙醇选择性不低于</w:t>
      </w:r>
      <w:r>
        <w:rPr>
          <w:rFonts w:ascii="仿宋_GB2312" w:eastAsia="仿宋_GB2312" w:hAnsi="Times New Roman" w:cs="Times New Roman"/>
          <w:sz w:val="32"/>
          <w:szCs w:val="32"/>
        </w:rPr>
        <w:t>80%</w:t>
      </w:r>
      <w:r>
        <w:rPr>
          <w:rFonts w:ascii="仿宋_GB2312" w:eastAsia="仿宋_GB2312" w:hAnsi="Times New Roman" w:cs="Times New Roman"/>
          <w:sz w:val="32"/>
          <w:szCs w:val="32"/>
        </w:rPr>
        <w:t>；构建</w:t>
      </w:r>
      <w:r>
        <w:rPr>
          <w:rFonts w:ascii="仿宋_GB2312" w:eastAsia="仿宋_GB2312" w:hAnsi="Times New Roman" w:cs="Times New Roman"/>
          <w:sz w:val="32"/>
          <w:szCs w:val="32"/>
        </w:rPr>
        <w:t>“</w:t>
      </w:r>
      <w:r>
        <w:rPr>
          <w:rFonts w:ascii="仿宋_GB2312" w:eastAsia="仿宋_GB2312" w:hAnsi="Times New Roman" w:cs="Times New Roman"/>
          <w:sz w:val="32"/>
          <w:szCs w:val="32"/>
        </w:rPr>
        <w:t>金属催化剂电子结构</w:t>
      </w:r>
      <w:r>
        <w:rPr>
          <w:rFonts w:ascii="仿宋_GB2312" w:eastAsia="仿宋_GB2312" w:hAnsi="Times New Roman" w:cs="Times New Roman"/>
          <w:sz w:val="32"/>
          <w:szCs w:val="32"/>
        </w:rPr>
        <w:t>-</w:t>
      </w:r>
      <w:r>
        <w:rPr>
          <w:rFonts w:ascii="仿宋_GB2312" w:eastAsia="仿宋_GB2312" w:hAnsi="Times New Roman" w:cs="Times New Roman"/>
          <w:sz w:val="32"/>
          <w:szCs w:val="32"/>
        </w:rPr>
        <w:t>酸碱性质</w:t>
      </w:r>
      <w:r>
        <w:rPr>
          <w:rFonts w:ascii="仿宋_GB2312" w:eastAsia="仿宋_GB2312" w:hAnsi="Times New Roman" w:cs="Times New Roman"/>
          <w:sz w:val="32"/>
          <w:szCs w:val="32"/>
        </w:rPr>
        <w:t>-</w:t>
      </w:r>
      <w:r>
        <w:rPr>
          <w:rFonts w:ascii="仿宋_GB2312" w:eastAsia="仿宋_GB2312" w:hAnsi="Times New Roman" w:cs="Times New Roman"/>
          <w:sz w:val="32"/>
          <w:szCs w:val="32"/>
        </w:rPr>
        <w:t>催化性能</w:t>
      </w:r>
      <w:r>
        <w:rPr>
          <w:rFonts w:ascii="仿宋_GB2312" w:eastAsia="仿宋_GB2312" w:hAnsi="Times New Roman" w:cs="Times New Roman"/>
          <w:sz w:val="32"/>
          <w:szCs w:val="32"/>
        </w:rPr>
        <w:t>”</w:t>
      </w:r>
      <w:r>
        <w:rPr>
          <w:rFonts w:ascii="仿宋_GB2312" w:eastAsia="仿宋_GB2312" w:hAnsi="Times New Roman" w:cs="Times New Roman"/>
          <w:sz w:val="32"/>
          <w:szCs w:val="32"/>
        </w:rPr>
        <w:t>多元关联关系，建立</w:t>
      </w:r>
      <w:r>
        <w:rPr>
          <w:rFonts w:ascii="仿宋_GB2312" w:eastAsia="仿宋_GB2312" w:hAnsi="Times New Roman" w:cs="Times New Roman"/>
          <w:sz w:val="32"/>
          <w:szCs w:val="32"/>
        </w:rPr>
        <w:t>CO2</w:t>
      </w:r>
      <w:r>
        <w:rPr>
          <w:rFonts w:ascii="仿宋_GB2312" w:eastAsia="仿宋_GB2312" w:hAnsi="Times New Roman" w:cs="Times New Roman"/>
          <w:sz w:val="32"/>
          <w:szCs w:val="32"/>
        </w:rPr>
        <w:t>加氢制丁二烯橡胶催化剂预测设计模型；形成</w:t>
      </w:r>
      <w:r>
        <w:rPr>
          <w:rFonts w:ascii="仿宋_GB2312" w:eastAsia="仿宋_GB2312" w:hAnsi="Times New Roman" w:cs="Times New Roman"/>
          <w:sz w:val="32"/>
          <w:szCs w:val="32"/>
        </w:rPr>
        <w:t>CO2</w:t>
      </w:r>
      <w:r>
        <w:rPr>
          <w:rFonts w:ascii="仿宋_GB2312" w:eastAsia="仿宋_GB2312" w:hAnsi="Times New Roman" w:cs="Times New Roman"/>
          <w:sz w:val="32"/>
          <w:szCs w:val="32"/>
        </w:rPr>
        <w:t>高效加氢制丁二烯橡胶全流程工艺并进行验证，乙醇制丁二烯收率不低于</w:t>
      </w:r>
      <w:r>
        <w:rPr>
          <w:rFonts w:ascii="仿宋_GB2312" w:eastAsia="仿宋_GB2312" w:hAnsi="Times New Roman" w:cs="Times New Roman"/>
          <w:sz w:val="32"/>
          <w:szCs w:val="32"/>
        </w:rPr>
        <w:t>60%</w:t>
      </w:r>
      <w:r>
        <w:rPr>
          <w:rFonts w:ascii="仿宋_GB2312" w:eastAsia="仿宋_GB2312" w:hAnsi="Times New Roman" w:cs="Times New Roman"/>
          <w:sz w:val="32"/>
          <w:szCs w:val="32"/>
        </w:rPr>
        <w:t>。在高水平期刊发表论文不少于</w:t>
      </w:r>
      <w:r>
        <w:rPr>
          <w:rFonts w:ascii="仿宋_GB2312" w:eastAsia="仿宋_GB2312" w:hAnsi="Times New Roman" w:cs="Times New Roman"/>
          <w:sz w:val="32"/>
          <w:szCs w:val="32"/>
        </w:rPr>
        <w:t>6</w:t>
      </w:r>
      <w:r>
        <w:rPr>
          <w:rFonts w:ascii="仿宋_GB2312" w:eastAsia="仿宋_GB2312" w:hAnsi="Times New Roman" w:cs="Times New Roman"/>
          <w:sz w:val="32"/>
          <w:szCs w:val="32"/>
        </w:rPr>
        <w:t>篇，授权发明专利不少于</w:t>
      </w:r>
      <w:r>
        <w:rPr>
          <w:rFonts w:ascii="仿宋_GB2312" w:eastAsia="仿宋_GB2312" w:hAnsi="Times New Roman" w:cs="Times New Roman"/>
          <w:sz w:val="32"/>
          <w:szCs w:val="32"/>
        </w:rPr>
        <w:t>5</w:t>
      </w:r>
      <w:r>
        <w:rPr>
          <w:rFonts w:ascii="仿宋_GB2312" w:eastAsia="仿宋_GB2312" w:hAnsi="Times New Roman" w:cs="Times New Roman"/>
          <w:sz w:val="32"/>
          <w:szCs w:val="32"/>
        </w:rPr>
        <w:t>件，培养研究生不少于</w:t>
      </w:r>
      <w:r>
        <w:rPr>
          <w:rFonts w:ascii="仿宋_GB2312" w:eastAsia="仿宋_GB2312" w:hAnsi="Times New Roman" w:cs="Times New Roman"/>
          <w:sz w:val="32"/>
          <w:szCs w:val="32"/>
        </w:rPr>
        <w:t>5</w:t>
      </w:r>
      <w:r>
        <w:rPr>
          <w:rFonts w:ascii="仿宋_GB2312" w:eastAsia="仿宋_GB2312" w:hAnsi="Times New Roman" w:cs="Times New Roman"/>
          <w:sz w:val="32"/>
          <w:szCs w:val="32"/>
        </w:rPr>
        <w:t>人。</w:t>
      </w:r>
    </w:p>
    <w:p w:rsidR="00F40406" w:rsidRDefault="009622A8">
      <w:pPr>
        <w:pStyle w:val="a3"/>
        <w:spacing w:after="0"/>
        <w:ind w:firstLineChars="200" w:firstLine="640"/>
      </w:pPr>
      <w:r>
        <w:rPr>
          <w:rFonts w:ascii="黑体" w:eastAsia="黑体" w:hAnsi="黑体" w:hint="eastAsia"/>
          <w:sz w:val="32"/>
          <w:szCs w:val="32"/>
        </w:rPr>
        <w:t>五、绿色能源领域</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：全无机钙钛矿太阳能电池的热管理研究</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：针对钙钛矿薄膜热累积造成的热失稳这一共性关键科学问题，开展动态调控策略、多物理场模拟与表征、自冷却</w:t>
      </w:r>
      <w:r>
        <w:rPr>
          <w:rFonts w:ascii="仿宋_GB2312" w:eastAsia="仿宋_GB2312" w:hAnsi="Times New Roman" w:cs="Times New Roman" w:hint="eastAsia"/>
          <w:sz w:val="32"/>
          <w:szCs w:val="32"/>
        </w:rPr>
        <w:lastRenderedPageBreak/>
        <w:t>全无机钙钛矿电池研究，揭示钙钛矿薄膜本征热输运特性理论，突破全无机钙钛矿电池产业化面临的热稳定性瓶颈。</w:t>
      </w:r>
    </w:p>
    <w:p w:rsidR="00F40406" w:rsidRDefault="009622A8">
      <w:pPr>
        <w:widowControl w:val="0"/>
        <w:ind w:firstLineChars="200" w:firstLine="643"/>
        <w:rPr>
          <w:rFonts w:ascii="黑体" w:eastAsia="黑体" w:hAnsi="黑体"/>
          <w:sz w:val="32"/>
          <w:szCs w:val="32"/>
        </w:rPr>
      </w:pPr>
      <w:r>
        <w:rPr>
          <w:rFonts w:ascii="Times New Roman" w:eastAsia="仿宋_GB2312" w:hAnsi="Times New Roman" w:cs="Times New Roman"/>
          <w:b/>
          <w:bCs/>
          <w:color w:val="000000"/>
          <w:sz w:val="32"/>
          <w:szCs w:val="32"/>
        </w:rPr>
        <w:t>考核指标：</w:t>
      </w:r>
      <w:r>
        <w:rPr>
          <w:rFonts w:ascii="仿宋_GB2312" w:eastAsia="仿宋_GB2312" w:hAnsi="Times New Roman" w:cs="Times New Roman"/>
          <w:sz w:val="32"/>
          <w:szCs w:val="32"/>
        </w:rPr>
        <w:t>全无机</w:t>
      </w:r>
      <w:r>
        <w:rPr>
          <w:rFonts w:ascii="仿宋_GB2312" w:eastAsia="仿宋_GB2312" w:hAnsi="Times New Roman" w:cs="Times New Roman"/>
          <w:sz w:val="32"/>
          <w:szCs w:val="32"/>
        </w:rPr>
        <w:t>CsPbBr3</w:t>
      </w:r>
      <w:r>
        <w:rPr>
          <w:rFonts w:ascii="仿宋_GB2312" w:eastAsia="仿宋_GB2312" w:hAnsi="Times New Roman" w:cs="Times New Roman"/>
          <w:sz w:val="32"/>
          <w:szCs w:val="32"/>
        </w:rPr>
        <w:t>钙钛矿电池的光电转换效率达到</w:t>
      </w:r>
      <w:r>
        <w:rPr>
          <w:rFonts w:ascii="仿宋_GB2312" w:eastAsia="仿宋_GB2312" w:hAnsi="Times New Roman" w:cs="Times New Roman"/>
          <w:sz w:val="32"/>
          <w:szCs w:val="32"/>
        </w:rPr>
        <w:t>12%</w:t>
      </w:r>
      <w:r>
        <w:rPr>
          <w:rFonts w:ascii="仿宋_GB2312" w:eastAsia="仿宋_GB2312" w:hAnsi="Times New Roman" w:cs="Times New Roman"/>
          <w:sz w:val="32"/>
          <w:szCs w:val="32"/>
        </w:rPr>
        <w:t>以上，碳基全无机</w:t>
      </w:r>
      <w:r>
        <w:rPr>
          <w:rFonts w:ascii="仿宋_GB2312" w:eastAsia="仿宋_GB2312" w:hAnsi="Times New Roman" w:cs="Times New Roman"/>
          <w:sz w:val="32"/>
          <w:szCs w:val="32"/>
        </w:rPr>
        <w:t>CsPbI2Br</w:t>
      </w:r>
      <w:r>
        <w:rPr>
          <w:rFonts w:ascii="仿宋_GB2312" w:eastAsia="仿宋_GB2312" w:hAnsi="Times New Roman" w:cs="Times New Roman"/>
          <w:sz w:val="32"/>
          <w:szCs w:val="32"/>
        </w:rPr>
        <w:t>钙钛矿电池的光电转换效率达到</w:t>
      </w:r>
      <w:r>
        <w:rPr>
          <w:rFonts w:ascii="仿宋_GB2312" w:eastAsia="仿宋_GB2312" w:hAnsi="Times New Roman" w:cs="Times New Roman"/>
          <w:sz w:val="32"/>
          <w:szCs w:val="32"/>
        </w:rPr>
        <w:t>16%</w:t>
      </w:r>
      <w:r>
        <w:rPr>
          <w:rFonts w:ascii="仿宋_GB2312" w:eastAsia="仿宋_GB2312" w:hAnsi="Times New Roman" w:cs="Times New Roman"/>
          <w:sz w:val="32"/>
          <w:szCs w:val="32"/>
        </w:rPr>
        <w:t>以上，最高开路电压达到</w:t>
      </w:r>
      <w:r>
        <w:rPr>
          <w:rFonts w:ascii="仿宋_GB2312" w:eastAsia="仿宋_GB2312" w:hAnsi="Times New Roman" w:cs="Times New Roman"/>
          <w:sz w:val="32"/>
          <w:szCs w:val="32"/>
        </w:rPr>
        <w:t>1.78V</w:t>
      </w:r>
      <w:r>
        <w:rPr>
          <w:rFonts w:ascii="仿宋_GB2312" w:eastAsia="仿宋_GB2312" w:hAnsi="Times New Roman" w:cs="Times New Roman"/>
          <w:sz w:val="32"/>
          <w:szCs w:val="32"/>
        </w:rPr>
        <w:t>；在高水平期刊发表论文不少于</w:t>
      </w:r>
      <w:r>
        <w:rPr>
          <w:rFonts w:ascii="仿宋_GB2312" w:eastAsia="仿宋_GB2312" w:hAnsi="Times New Roman" w:cs="Times New Roman"/>
          <w:sz w:val="32"/>
          <w:szCs w:val="32"/>
        </w:rPr>
        <w:t>6</w:t>
      </w:r>
      <w:r>
        <w:rPr>
          <w:rFonts w:ascii="仿宋_GB2312" w:eastAsia="仿宋_GB2312" w:hAnsi="Times New Roman" w:cs="Times New Roman"/>
          <w:sz w:val="32"/>
          <w:szCs w:val="32"/>
        </w:rPr>
        <w:t>篇，授权发明专利不少于</w:t>
      </w:r>
      <w:r>
        <w:rPr>
          <w:rFonts w:ascii="仿宋_GB2312" w:eastAsia="仿宋_GB2312" w:hAnsi="Times New Roman" w:cs="Times New Roman"/>
          <w:sz w:val="32"/>
          <w:szCs w:val="32"/>
        </w:rPr>
        <w:t>3</w:t>
      </w:r>
      <w:r>
        <w:rPr>
          <w:rFonts w:ascii="仿宋_GB2312" w:eastAsia="仿宋_GB2312" w:hAnsi="Times New Roman" w:cs="Times New Roman"/>
          <w:sz w:val="32"/>
          <w:szCs w:val="32"/>
        </w:rPr>
        <w:t>件，建立一支在全无机钙钛矿太阳能电池领域具有国际竞争力的科研团队，引进和培养省部级</w:t>
      </w:r>
      <w:r>
        <w:rPr>
          <w:rFonts w:ascii="仿宋_GB2312" w:eastAsia="仿宋_GB2312" w:hAnsi="Times New Roman" w:cs="Times New Roman"/>
          <w:sz w:val="32"/>
          <w:szCs w:val="32"/>
        </w:rPr>
        <w:t>以上人才不少于</w:t>
      </w:r>
      <w:r>
        <w:rPr>
          <w:rFonts w:ascii="仿宋_GB2312" w:eastAsia="仿宋_GB2312" w:hAnsi="Times New Roman" w:cs="Times New Roman"/>
          <w:sz w:val="32"/>
          <w:szCs w:val="32"/>
        </w:rPr>
        <w:t>2</w:t>
      </w:r>
      <w:r>
        <w:rPr>
          <w:rFonts w:ascii="仿宋_GB2312" w:eastAsia="仿宋_GB2312" w:hAnsi="Times New Roman" w:cs="Times New Roman"/>
          <w:sz w:val="32"/>
          <w:szCs w:val="32"/>
        </w:rPr>
        <w:t>人，培养研究生不少于</w:t>
      </w:r>
      <w:r>
        <w:rPr>
          <w:rFonts w:ascii="仿宋_GB2312" w:eastAsia="仿宋_GB2312" w:hAnsi="Times New Roman" w:cs="Times New Roman"/>
          <w:sz w:val="32"/>
          <w:szCs w:val="32"/>
        </w:rPr>
        <w:t>8</w:t>
      </w:r>
      <w:r>
        <w:rPr>
          <w:rFonts w:ascii="仿宋_GB2312" w:eastAsia="仿宋_GB2312" w:hAnsi="Times New Roman" w:cs="Times New Roman"/>
          <w:sz w:val="32"/>
          <w:szCs w:val="32"/>
        </w:rPr>
        <w:t>名。</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：远海浮式风电平台超高性能混凝土材料设计与模块化制造技术</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：针对传统浮式风电钢结构平台结构稳定性差，环境适应性弱和耐久性不足等问题，开发用于深远海浮式风电的轻质、高强、高韧性超高性能混凝土材料（</w:t>
      </w:r>
      <w:r>
        <w:rPr>
          <w:rFonts w:ascii="仿宋_GB2312" w:eastAsia="仿宋_GB2312" w:hAnsi="Times New Roman" w:cs="Times New Roman" w:hint="eastAsia"/>
          <w:sz w:val="32"/>
          <w:szCs w:val="32"/>
        </w:rPr>
        <w:t>UHPC</w:t>
      </w:r>
      <w:r>
        <w:rPr>
          <w:rFonts w:ascii="仿宋_GB2312" w:eastAsia="仿宋_GB2312" w:hAnsi="Times New Roman" w:cs="Times New Roman" w:hint="eastAsia"/>
          <w:sz w:val="32"/>
          <w:szCs w:val="32"/>
        </w:rPr>
        <w:t>），研发浮岛材料核壳一体化设计方法与制备技术，提出适用于深海浮式风电的预制装配式</w:t>
      </w:r>
      <w:r>
        <w:rPr>
          <w:rFonts w:ascii="仿宋_GB2312" w:eastAsia="仿宋_GB2312" w:hAnsi="Times New Roman" w:cs="Times New Roman" w:hint="eastAsia"/>
          <w:sz w:val="32"/>
          <w:szCs w:val="32"/>
        </w:rPr>
        <w:t>UHPC</w:t>
      </w:r>
      <w:r>
        <w:rPr>
          <w:rFonts w:ascii="仿宋_GB2312" w:eastAsia="仿宋_GB2312" w:hAnsi="Times New Roman" w:cs="Times New Roman" w:hint="eastAsia"/>
          <w:sz w:val="32"/>
          <w:szCs w:val="32"/>
        </w:rPr>
        <w:t>浮式平台设计方案，构建深远海</w:t>
      </w:r>
      <w:r>
        <w:rPr>
          <w:rFonts w:ascii="仿宋_GB2312" w:eastAsia="仿宋_GB2312" w:hAnsi="Times New Roman" w:cs="Times New Roman" w:hint="eastAsia"/>
          <w:sz w:val="32"/>
          <w:szCs w:val="32"/>
        </w:rPr>
        <w:t>UHPC</w:t>
      </w:r>
      <w:r>
        <w:rPr>
          <w:rFonts w:ascii="仿宋_GB2312" w:eastAsia="仿宋_GB2312" w:hAnsi="Times New Roman" w:cs="Times New Roman" w:hint="eastAsia"/>
          <w:sz w:val="32"/>
          <w:szCs w:val="32"/>
        </w:rPr>
        <w:t>浮式风电平台的动力响应模型，揭示恶劣工况下平台整体强度特性，攻克深远海装配式</w:t>
      </w:r>
      <w:r>
        <w:rPr>
          <w:rFonts w:ascii="仿宋_GB2312" w:eastAsia="仿宋_GB2312" w:hAnsi="Times New Roman" w:cs="Times New Roman" w:hint="eastAsia"/>
          <w:sz w:val="32"/>
          <w:szCs w:val="32"/>
        </w:rPr>
        <w:t>UHPC</w:t>
      </w:r>
      <w:r>
        <w:rPr>
          <w:rFonts w:ascii="仿宋_GB2312" w:eastAsia="仿宋_GB2312" w:hAnsi="Times New Roman" w:cs="Times New Roman" w:hint="eastAsia"/>
          <w:sz w:val="32"/>
          <w:szCs w:val="32"/>
        </w:rPr>
        <w:t>组合模块的智能拼装技术，为海洋风电工程长寿命</w:t>
      </w:r>
      <w:r>
        <w:rPr>
          <w:rFonts w:ascii="仿宋_GB2312" w:eastAsia="仿宋_GB2312" w:hAnsi="Times New Roman" w:cs="Times New Roman" w:hint="eastAsia"/>
          <w:sz w:val="32"/>
          <w:szCs w:val="32"/>
        </w:rPr>
        <w:t>运维提供理论指导与技术支撑。</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：完成用于深海浮式风电的轻质、高韧性与低收缩的</w:t>
      </w:r>
      <w:r>
        <w:rPr>
          <w:rFonts w:ascii="仿宋_GB2312" w:eastAsia="仿宋_GB2312" w:hAnsi="Times New Roman" w:cs="Times New Roman" w:hint="eastAsia"/>
          <w:sz w:val="32"/>
          <w:szCs w:val="32"/>
        </w:rPr>
        <w:t>UHPC</w:t>
      </w:r>
      <w:r>
        <w:rPr>
          <w:rFonts w:ascii="仿宋_GB2312" w:eastAsia="仿宋_GB2312" w:hAnsi="Times New Roman" w:cs="Times New Roman" w:hint="eastAsia"/>
          <w:sz w:val="32"/>
          <w:szCs w:val="32"/>
        </w:rPr>
        <w:t>材料开发：表观密度小于</w:t>
      </w:r>
      <w:r>
        <w:rPr>
          <w:rFonts w:ascii="仿宋_GB2312" w:eastAsia="仿宋_GB2312" w:hAnsi="Times New Roman" w:cs="Times New Roman" w:hint="eastAsia"/>
          <w:sz w:val="32"/>
          <w:szCs w:val="32"/>
        </w:rPr>
        <w:t>2100kg/m3</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28</w:t>
      </w:r>
      <w:r>
        <w:rPr>
          <w:rFonts w:ascii="仿宋_GB2312" w:eastAsia="仿宋_GB2312" w:hAnsi="Times New Roman" w:cs="Times New Roman" w:hint="eastAsia"/>
          <w:sz w:val="32"/>
          <w:szCs w:val="32"/>
        </w:rPr>
        <w:t>天抗压强度高于</w:t>
      </w:r>
      <w:r>
        <w:rPr>
          <w:rFonts w:ascii="仿宋_GB2312" w:eastAsia="仿宋_GB2312" w:hAnsi="Times New Roman" w:cs="Times New Roman" w:hint="eastAsia"/>
          <w:sz w:val="32"/>
          <w:szCs w:val="32"/>
        </w:rPr>
        <w:t>120MPa</w:t>
      </w:r>
      <w:r>
        <w:rPr>
          <w:rFonts w:ascii="仿宋_GB2312" w:eastAsia="仿宋_GB2312" w:hAnsi="Times New Roman" w:cs="Times New Roman" w:hint="eastAsia"/>
          <w:sz w:val="32"/>
          <w:szCs w:val="32"/>
        </w:rPr>
        <w:t>，抗拉强度≥</w:t>
      </w:r>
      <w:r>
        <w:rPr>
          <w:rFonts w:ascii="仿宋_GB2312" w:eastAsia="仿宋_GB2312" w:hAnsi="Times New Roman" w:cs="Times New Roman" w:hint="eastAsia"/>
          <w:sz w:val="32"/>
          <w:szCs w:val="32"/>
        </w:rPr>
        <w:t>10MPa</w:t>
      </w:r>
      <w:r>
        <w:rPr>
          <w:rFonts w:ascii="仿宋_GB2312" w:eastAsia="仿宋_GB2312" w:hAnsi="Times New Roman" w:cs="Times New Roman" w:hint="eastAsia"/>
          <w:sz w:val="32"/>
          <w:szCs w:val="32"/>
        </w:rPr>
        <w:t>，极限应变率大于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28</w:t>
      </w:r>
      <w:r>
        <w:rPr>
          <w:rFonts w:ascii="仿宋_GB2312" w:eastAsia="仿宋_GB2312" w:hAnsi="Times New Roman" w:cs="Times New Roman" w:hint="eastAsia"/>
          <w:sz w:val="32"/>
          <w:szCs w:val="32"/>
        </w:rPr>
        <w:t>天电通量低于</w:t>
      </w:r>
      <w:r>
        <w:rPr>
          <w:rFonts w:ascii="仿宋_GB2312" w:eastAsia="仿宋_GB2312" w:hAnsi="Times New Roman" w:cs="Times New Roman" w:hint="eastAsia"/>
          <w:sz w:val="32"/>
          <w:szCs w:val="32"/>
        </w:rPr>
        <w:t>50C</w:t>
      </w:r>
      <w:r>
        <w:rPr>
          <w:rFonts w:ascii="仿宋_GB2312" w:eastAsia="仿宋_GB2312" w:hAnsi="Times New Roman" w:cs="Times New Roman" w:hint="eastAsia"/>
          <w:sz w:val="32"/>
          <w:szCs w:val="32"/>
        </w:rPr>
        <w:t>，自收缩值</w:t>
      </w:r>
      <w:r>
        <w:rPr>
          <w:rFonts w:ascii="仿宋_GB2312" w:eastAsia="仿宋_GB2312" w:hAnsi="Times New Roman" w:cs="Times New Roman" w:hint="eastAsia"/>
          <w:sz w:val="32"/>
          <w:szCs w:val="32"/>
        </w:rPr>
        <w:t>&lt;500</w:t>
      </w:r>
      <w:r>
        <w:rPr>
          <w:rFonts w:ascii="仿宋_GB2312" w:eastAsia="仿宋_GB2312" w:hAnsi="Times New Roman" w:cs="Times New Roman" w:hint="eastAsia"/>
          <w:sz w:val="32"/>
          <w:szCs w:val="32"/>
        </w:rPr>
        <w:t>με；提出适用于深海浮式风电的预制</w:t>
      </w:r>
      <w:r>
        <w:rPr>
          <w:rFonts w:ascii="仿宋_GB2312" w:eastAsia="仿宋_GB2312" w:hAnsi="Times New Roman" w:cs="Times New Roman" w:hint="eastAsia"/>
          <w:sz w:val="32"/>
          <w:szCs w:val="32"/>
        </w:rPr>
        <w:lastRenderedPageBreak/>
        <w:t>装配式</w:t>
      </w:r>
      <w:r>
        <w:rPr>
          <w:rFonts w:ascii="仿宋_GB2312" w:eastAsia="仿宋_GB2312" w:hAnsi="Times New Roman" w:cs="Times New Roman" w:hint="eastAsia"/>
          <w:sz w:val="32"/>
          <w:szCs w:val="32"/>
        </w:rPr>
        <w:t>UHPC</w:t>
      </w:r>
      <w:r>
        <w:rPr>
          <w:rFonts w:ascii="仿宋_GB2312" w:eastAsia="仿宋_GB2312" w:hAnsi="Times New Roman" w:cs="Times New Roman" w:hint="eastAsia"/>
          <w:sz w:val="32"/>
          <w:szCs w:val="32"/>
        </w:rPr>
        <w:t>浮式平台设计方案；开发智能化</w:t>
      </w:r>
      <w:r>
        <w:rPr>
          <w:rFonts w:ascii="仿宋_GB2312" w:eastAsia="仿宋_GB2312" w:hAnsi="Times New Roman" w:cs="Times New Roman" w:hint="eastAsia"/>
          <w:sz w:val="32"/>
          <w:szCs w:val="32"/>
        </w:rPr>
        <w:t>UHPC</w:t>
      </w:r>
      <w:r>
        <w:rPr>
          <w:rFonts w:ascii="仿宋_GB2312" w:eastAsia="仿宋_GB2312" w:hAnsi="Times New Roman" w:cs="Times New Roman" w:hint="eastAsia"/>
          <w:sz w:val="32"/>
          <w:szCs w:val="32"/>
        </w:rPr>
        <w:t>组合模块结构的精确对位、智能放样、关键节点自锁连接等施工关键技术与装备不少于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套，实现新型装配式</w:t>
      </w:r>
      <w:r>
        <w:rPr>
          <w:rFonts w:ascii="仿宋_GB2312" w:eastAsia="仿宋_GB2312" w:hAnsi="Times New Roman" w:cs="Times New Roman" w:hint="eastAsia"/>
          <w:sz w:val="32"/>
          <w:szCs w:val="32"/>
        </w:rPr>
        <w:t>UHPC</w:t>
      </w:r>
      <w:r>
        <w:rPr>
          <w:rFonts w:ascii="仿宋_GB2312" w:eastAsia="仿宋_GB2312" w:hAnsi="Times New Roman" w:cs="Times New Roman" w:hint="eastAsia"/>
          <w:sz w:val="32"/>
          <w:szCs w:val="32"/>
        </w:rPr>
        <w:t>组合模块结构与智能建造的融合，并开展示范应用。授权发明专利不少于</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项，发表高</w:t>
      </w:r>
      <w:r>
        <w:rPr>
          <w:rFonts w:ascii="仿宋_GB2312" w:eastAsia="仿宋_GB2312" w:hAnsi="Times New Roman" w:cs="Times New Roman" w:hint="eastAsia"/>
          <w:sz w:val="32"/>
          <w:szCs w:val="32"/>
        </w:rPr>
        <w:t>水平论文不少于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篇，培养研究生不少于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名。</w:t>
      </w:r>
    </w:p>
    <w:p w:rsidR="00F40406" w:rsidRDefault="009622A8">
      <w:pPr>
        <w:widowControl w:val="0"/>
        <w:ind w:firstLineChars="200" w:firstLine="640"/>
        <w:rPr>
          <w:rFonts w:ascii="楷体_GB2312" w:eastAsia="楷体_GB2312" w:hAnsi="楷体_GB2312" w:cs="楷体_GB2312"/>
          <w:sz w:val="32"/>
          <w:szCs w:val="32"/>
        </w:rPr>
      </w:pPr>
      <w:r>
        <w:rPr>
          <w:rFonts w:ascii="黑体" w:eastAsia="黑体" w:hAnsi="黑体" w:hint="eastAsia"/>
          <w:sz w:val="32"/>
          <w:szCs w:val="32"/>
        </w:rPr>
        <w:t>六、人工智能领域</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：面向重大健康需求的智能分子设计大模型研究</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面向高端医药智能设计重大需求，开展面向高端材料的高质量分子数据集构建，涵盖小分子药物、水凝胶、纳米生物材料等关键数据，实现多模态多源异构数据融合对齐。开展融合知识与数据的多模态分子表征与预训练范式研究，设计统一的多模态编码器架构，设计嵌入化学规则与材料性能内在联系的预训练任务，研发领域知识约束的分子生成模型。开展智能分子设计大模型可解释性分析及机制验证研究，在分子生成优化阶段实现特定设计</w:t>
      </w:r>
      <w:r>
        <w:rPr>
          <w:rFonts w:ascii="仿宋_GB2312" w:eastAsia="仿宋_GB2312" w:hAnsi="Times New Roman" w:cs="Times New Roman" w:hint="eastAsia"/>
          <w:sz w:val="32"/>
          <w:szCs w:val="32"/>
        </w:rPr>
        <w:t>目标可注入、可决策。形成智能分子设计大模型，实现泛化良好、可靠性高的智能精准分子设计。</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：建成国内首个面向高端医药材料的专业数据集，规模超</w:t>
      </w:r>
      <w:r>
        <w:rPr>
          <w:rFonts w:ascii="仿宋_GB2312" w:eastAsia="仿宋_GB2312" w:hAnsi="Times New Roman" w:cs="Times New Roman" w:hint="eastAsia"/>
          <w:sz w:val="32"/>
          <w:szCs w:val="32"/>
        </w:rPr>
        <w:t>200</w:t>
      </w:r>
      <w:r>
        <w:rPr>
          <w:rFonts w:ascii="仿宋_GB2312" w:eastAsia="仿宋_GB2312" w:hAnsi="Times New Roman" w:cs="Times New Roman" w:hint="eastAsia"/>
          <w:sz w:val="32"/>
          <w:szCs w:val="32"/>
        </w:rPr>
        <w:t>万条；研发具有自主知识产权的分子生成大模型系统，在特定目标功能的定制化分子生成性能显著提升，有效占比超</w:t>
      </w:r>
      <w:r>
        <w:rPr>
          <w:rFonts w:ascii="仿宋_GB2312" w:eastAsia="仿宋_GB2312" w:hAnsi="Times New Roman" w:cs="Times New Roman" w:hint="eastAsia"/>
          <w:sz w:val="32"/>
          <w:szCs w:val="32"/>
        </w:rPr>
        <w:t>60%</w:t>
      </w:r>
      <w:r>
        <w:rPr>
          <w:rFonts w:ascii="仿宋_GB2312" w:eastAsia="仿宋_GB2312" w:hAnsi="Times New Roman" w:cs="Times New Roman" w:hint="eastAsia"/>
          <w:sz w:val="32"/>
          <w:szCs w:val="32"/>
        </w:rPr>
        <w:t>；形成可解释分子设计技术体系，针对</w:t>
      </w:r>
      <w:r>
        <w:rPr>
          <w:rFonts w:ascii="仿宋_GB2312" w:eastAsia="仿宋_GB2312" w:hAnsi="Times New Roman" w:cs="Times New Roman" w:hint="eastAsia"/>
          <w:sz w:val="32"/>
          <w:szCs w:val="32"/>
        </w:rPr>
        <w:t>3-5</w:t>
      </w:r>
      <w:r>
        <w:rPr>
          <w:rFonts w:ascii="仿宋_GB2312" w:eastAsia="仿宋_GB2312" w:hAnsi="Times New Roman" w:cs="Times New Roman" w:hint="eastAsia"/>
          <w:sz w:val="32"/>
          <w:szCs w:val="32"/>
        </w:rPr>
        <w:t>类重大疾病相关靶点或医用材料性能指标，实现功能基元识别与机制推断，准确率达</w:t>
      </w:r>
      <w:r>
        <w:rPr>
          <w:rFonts w:ascii="仿宋_GB2312" w:eastAsia="仿宋_GB2312" w:hAnsi="Times New Roman" w:cs="Times New Roman" w:hint="eastAsia"/>
          <w:sz w:val="32"/>
          <w:szCs w:val="32"/>
        </w:rPr>
        <w:t>85%</w:t>
      </w:r>
      <w:r>
        <w:rPr>
          <w:rFonts w:ascii="仿宋_GB2312" w:eastAsia="仿宋_GB2312" w:hAnsi="Times New Roman" w:cs="Times New Roman" w:hint="eastAsia"/>
          <w:sz w:val="32"/>
          <w:szCs w:val="32"/>
        </w:rPr>
        <w:t>以上；发表高水平</w:t>
      </w:r>
      <w:r>
        <w:rPr>
          <w:rFonts w:ascii="仿宋_GB2312" w:eastAsia="仿宋_GB2312" w:hAnsi="Times New Roman" w:cs="Times New Roman" w:hint="eastAsia"/>
          <w:sz w:val="32"/>
          <w:szCs w:val="32"/>
        </w:rPr>
        <w:t>SCI</w:t>
      </w:r>
      <w:r>
        <w:rPr>
          <w:rFonts w:ascii="仿宋_GB2312" w:eastAsia="仿宋_GB2312" w:hAnsi="Times New Roman" w:cs="Times New Roman" w:hint="eastAsia"/>
          <w:sz w:val="32"/>
          <w:szCs w:val="32"/>
        </w:rPr>
        <w:t>论文不少于</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篇，授权发明专</w:t>
      </w:r>
      <w:r>
        <w:rPr>
          <w:rFonts w:ascii="仿宋_GB2312" w:eastAsia="仿宋_GB2312" w:hAnsi="Times New Roman" w:cs="Times New Roman" w:hint="eastAsia"/>
          <w:sz w:val="32"/>
          <w:szCs w:val="32"/>
        </w:rPr>
        <w:lastRenderedPageBreak/>
        <w:t>利不少于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项，培养研究生</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名以上。</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：多维感知具身成像方法研究</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：围绕</w:t>
      </w:r>
      <w:r>
        <w:rPr>
          <w:rFonts w:ascii="仿宋_GB2312" w:eastAsia="仿宋_GB2312" w:hAnsi="Times New Roman" w:cs="Times New Roman" w:hint="eastAsia"/>
          <w:sz w:val="32"/>
          <w:szCs w:val="32"/>
        </w:rPr>
        <w:t>人形机器人复杂场景下的多维感知与智能作业需求，开展可见光、红外与</w:t>
      </w:r>
      <w:r>
        <w:rPr>
          <w:rFonts w:ascii="仿宋_GB2312" w:eastAsia="仿宋_GB2312" w:hAnsi="Times New Roman" w:cs="Times New Roman" w:hint="eastAsia"/>
          <w:sz w:val="32"/>
          <w:szCs w:val="32"/>
        </w:rPr>
        <w:t>4D</w:t>
      </w:r>
      <w:r>
        <w:rPr>
          <w:rFonts w:ascii="仿宋_GB2312" w:eastAsia="仿宋_GB2312" w:hAnsi="Times New Roman" w:cs="Times New Roman" w:hint="eastAsia"/>
          <w:sz w:val="32"/>
          <w:szCs w:val="32"/>
        </w:rPr>
        <w:t>毫米波雷达的多源信息融合与成像技术研究，攻克特种作业机器人多传感器协同、动态目标跟踪、异构数据融合和体臂协同控制等关键技术，实现动态环境中高精度感知、定位与协同能力，提升机器人在复杂场景下的环境适应性、感知智能性和作业自主性。</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：研制多源融合感知样机</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套，目标识别准确率＞</w:t>
      </w:r>
      <w:r>
        <w:rPr>
          <w:rFonts w:ascii="仿宋_GB2312" w:eastAsia="仿宋_GB2312" w:hAnsi="Times New Roman" w:cs="Times New Roman" w:hint="eastAsia"/>
          <w:sz w:val="32"/>
          <w:szCs w:val="32"/>
        </w:rPr>
        <w:t>95%</w:t>
      </w:r>
      <w:r>
        <w:rPr>
          <w:rFonts w:ascii="仿宋_GB2312" w:eastAsia="仿宋_GB2312" w:hAnsi="Times New Roman" w:cs="Times New Roman" w:hint="eastAsia"/>
          <w:sz w:val="32"/>
          <w:szCs w:val="32"/>
        </w:rPr>
        <w:t>，在雨雾等恶劣环境下有效探测距离不低于</w:t>
      </w:r>
      <w:r>
        <w:rPr>
          <w:rFonts w:ascii="仿宋_GB2312" w:eastAsia="仿宋_GB2312" w:hAnsi="Times New Roman" w:cs="Times New Roman" w:hint="eastAsia"/>
          <w:sz w:val="32"/>
          <w:szCs w:val="32"/>
        </w:rPr>
        <w:t>200</w:t>
      </w:r>
      <w:r>
        <w:rPr>
          <w:rFonts w:ascii="仿宋_GB2312" w:eastAsia="仿宋_GB2312" w:hAnsi="Times New Roman" w:cs="Times New Roman" w:hint="eastAsia"/>
          <w:sz w:val="32"/>
          <w:szCs w:val="32"/>
        </w:rPr>
        <w:t>米；开发具身智能作业机器人系统</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套，定位精度达到厘米级（±</w:t>
      </w:r>
      <w:r>
        <w:rPr>
          <w:rFonts w:ascii="仿宋_GB2312" w:eastAsia="仿宋_GB2312" w:hAnsi="Times New Roman" w:cs="Times New Roman" w:hint="eastAsia"/>
          <w:sz w:val="32"/>
          <w:szCs w:val="32"/>
        </w:rPr>
        <w:t>5cm</w:t>
      </w:r>
      <w:r>
        <w:rPr>
          <w:rFonts w:ascii="仿宋_GB2312" w:eastAsia="仿宋_GB2312" w:hAnsi="Times New Roman" w:cs="Times New Roman" w:hint="eastAsia"/>
          <w:sz w:val="32"/>
          <w:szCs w:val="32"/>
        </w:rPr>
        <w:t>），体臂协同控制响应延迟＜</w:t>
      </w:r>
      <w:r>
        <w:rPr>
          <w:rFonts w:ascii="仿宋_GB2312" w:eastAsia="仿宋_GB2312" w:hAnsi="Times New Roman" w:cs="Times New Roman" w:hint="eastAsia"/>
          <w:sz w:val="32"/>
          <w:szCs w:val="32"/>
        </w:rPr>
        <w:t>100ms</w:t>
      </w:r>
      <w:r>
        <w:rPr>
          <w:rFonts w:ascii="仿宋_GB2312" w:eastAsia="仿宋_GB2312" w:hAnsi="Times New Roman" w:cs="Times New Roman" w:hint="eastAsia"/>
          <w:sz w:val="32"/>
          <w:szCs w:val="32"/>
        </w:rPr>
        <w:t>；设计不少于</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种应用场景并开展示范应用；授权发明专利不少于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项，发表高水平</w:t>
      </w:r>
      <w:r>
        <w:rPr>
          <w:rFonts w:ascii="仿宋_GB2312" w:eastAsia="仿宋_GB2312" w:hAnsi="Times New Roman" w:cs="Times New Roman" w:hint="eastAsia"/>
          <w:sz w:val="32"/>
          <w:szCs w:val="32"/>
        </w:rPr>
        <w:t>SCI</w:t>
      </w:r>
      <w:r>
        <w:rPr>
          <w:rFonts w:ascii="仿宋_GB2312" w:eastAsia="仿宋_GB2312" w:hAnsi="Times New Roman" w:cs="Times New Roman" w:hint="eastAsia"/>
          <w:sz w:val="32"/>
          <w:szCs w:val="32"/>
        </w:rPr>
        <w:t>论文不少于</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篇，培养研究生不少于</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名。</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：基于主动感知的国际航运智能态势感知与决策支持系统</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聚焦青岛国际航运中心智能化与绿色化协同发展的核心需求，构建国际航运系统的“动态感知—多尺度预测—智能研判”理论体系，开发多元数据的主动感知与大模型驱动的智能航运、绿色航运关键技术，建立基于主动感知的国际航运智能态势感知与决策支持系统，为全球领先的航运枢纽体系构建奠定基础。</w:t>
      </w:r>
    </w:p>
    <w:p w:rsidR="00F40406" w:rsidRDefault="009622A8">
      <w:pPr>
        <w:widowControl w:val="0"/>
        <w:ind w:firstLineChars="200" w:firstLine="643"/>
      </w:pPr>
      <w:r>
        <w:rPr>
          <w:rFonts w:ascii="仿宋_GB2312" w:eastAsia="仿宋_GB2312" w:hAnsi="Times New Roman" w:cs="Times New Roman" w:hint="eastAsia"/>
          <w:b/>
          <w:bCs/>
          <w:sz w:val="32"/>
          <w:szCs w:val="32"/>
        </w:rPr>
        <w:lastRenderedPageBreak/>
        <w:t>考核指标</w:t>
      </w:r>
      <w:r>
        <w:rPr>
          <w:rFonts w:ascii="仿宋_GB2312" w:eastAsia="仿宋_GB2312" w:hAnsi="Times New Roman" w:cs="Times New Roman" w:hint="eastAsia"/>
          <w:sz w:val="32"/>
          <w:szCs w:val="32"/>
        </w:rPr>
        <w:t>：研发国际航运智能态势感知与决策支持原型系统</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套，以青岛</w:t>
      </w:r>
      <w:r>
        <w:rPr>
          <w:rFonts w:ascii="仿宋_GB2312" w:eastAsia="仿宋_GB2312" w:hAnsi="Times New Roman" w:cs="Times New Roman" w:hint="eastAsia"/>
          <w:sz w:val="32"/>
          <w:szCs w:val="32"/>
        </w:rPr>
        <w:t>为核心构建全球主要航运中心城市碳汇计算数据库</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个，完成相关研究报告</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份，授权发明专利不少于</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项，登记软件著作权</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项，发表高水平论文不少于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篇。</w:t>
      </w:r>
    </w:p>
    <w:p w:rsidR="00F40406" w:rsidRDefault="009622A8">
      <w:pPr>
        <w:widowControl w:val="0"/>
        <w:ind w:firstLineChars="200" w:firstLine="640"/>
        <w:rPr>
          <w:rFonts w:ascii="楷体_GB2312" w:eastAsia="楷体_GB2312" w:hAnsi="楷体_GB2312" w:cs="楷体_GB2312"/>
          <w:sz w:val="32"/>
          <w:szCs w:val="32"/>
        </w:rPr>
      </w:pPr>
      <w:r>
        <w:rPr>
          <w:rFonts w:ascii="黑体" w:eastAsia="黑体" w:hAnsi="黑体" w:hint="eastAsia"/>
          <w:sz w:val="32"/>
          <w:szCs w:val="32"/>
        </w:rPr>
        <w:t>七、未来产业领域</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：深海铁锰结核成矿机制与生态扰动协同调控研究</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围绕深海铁锰结核绿色开发需求，开展基于多源数据融合与人工智能的深海铁锰结核成矿机制与资源潜力智能预测、地形地质特征驱动的深海铁锰结核开采区块优选及生态环境扰动机制研究，阐明成矿规律与环境响应机理，实现资源高效勘探与生态风险协同管控目标。</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：建立结核分布智能预测模型，实现资源潜力区圈定精度≥</w:t>
      </w:r>
      <w:r>
        <w:rPr>
          <w:rFonts w:ascii="仿宋_GB2312" w:eastAsia="仿宋_GB2312" w:hAnsi="Times New Roman" w:cs="Times New Roman" w:hint="eastAsia"/>
          <w:sz w:val="32"/>
          <w:szCs w:val="32"/>
        </w:rPr>
        <w:t>85%</w:t>
      </w:r>
      <w:r>
        <w:rPr>
          <w:rFonts w:ascii="仿宋_GB2312" w:eastAsia="仿宋_GB2312" w:hAnsi="Times New Roman" w:cs="Times New Roman" w:hint="eastAsia"/>
          <w:sz w:val="32"/>
          <w:szCs w:val="32"/>
        </w:rPr>
        <w:t>，定位误差≤</w:t>
      </w:r>
      <w:r>
        <w:rPr>
          <w:rFonts w:ascii="仿宋_GB2312" w:eastAsia="仿宋_GB2312" w:hAnsi="Times New Roman" w:cs="Times New Roman" w:hint="eastAsia"/>
          <w:sz w:val="32"/>
          <w:szCs w:val="32"/>
        </w:rPr>
        <w:t>1000</w:t>
      </w:r>
      <w:r>
        <w:rPr>
          <w:rFonts w:ascii="仿宋_GB2312" w:eastAsia="仿宋_GB2312" w:hAnsi="Times New Roman" w:cs="Times New Roman" w:hint="eastAsia"/>
          <w:sz w:val="32"/>
          <w:szCs w:val="32"/>
        </w:rPr>
        <w:t>米。构建地质－地形－流体耦合评价体系，开发地质风险动态预警软件</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套，滑坡风险预警准确率≥</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。建立深海生态系统环境阈值模型，为绿色集矿装备设计提供参数依据，形成边缘海铁锰结核生态阈值行业标准</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项。授权发明专利不少于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项，发表高水平</w:t>
      </w:r>
      <w:r>
        <w:rPr>
          <w:rFonts w:ascii="仿宋_GB2312" w:eastAsia="仿宋_GB2312" w:hAnsi="Times New Roman" w:cs="Times New Roman" w:hint="eastAsia"/>
          <w:sz w:val="32"/>
          <w:szCs w:val="32"/>
        </w:rPr>
        <w:t>SCI</w:t>
      </w:r>
      <w:r>
        <w:rPr>
          <w:rFonts w:ascii="仿宋_GB2312" w:eastAsia="仿宋_GB2312" w:hAnsi="Times New Roman" w:cs="Times New Roman" w:hint="eastAsia"/>
          <w:sz w:val="32"/>
          <w:szCs w:val="32"/>
        </w:rPr>
        <w:t>论文不少于</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篇。</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：基于生成式人工智能的生态友好型仿生水下通信技术研究</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：针对当前水下声纳通信存在危害海洋哺乳动物、影响鱼类生长生存的问题，开展基于轻量化神经网络的海洋动物叫声识别与</w:t>
      </w:r>
      <w:r>
        <w:rPr>
          <w:rFonts w:ascii="仿宋_GB2312" w:eastAsia="仿宋_GB2312" w:hAnsi="Times New Roman" w:cs="Times New Roman" w:hint="eastAsia"/>
          <w:sz w:val="32"/>
          <w:szCs w:val="32"/>
        </w:rPr>
        <w:t>分类技术研究，研发基于盲源分离的仿生通信信号干</w:t>
      </w:r>
      <w:r>
        <w:rPr>
          <w:rFonts w:ascii="仿宋_GB2312" w:eastAsia="仿宋_GB2312" w:hAnsi="Times New Roman" w:cs="Times New Roman" w:hint="eastAsia"/>
          <w:sz w:val="32"/>
          <w:szCs w:val="32"/>
        </w:rPr>
        <w:lastRenderedPageBreak/>
        <w:t>扰抑制技术，阐明生成仿生通信信号及提高仿生信号接收性能的机理。研制生态友好型水声通信原理样机，实现动态适配海域环境的生态友好型仿生水声通信，并开展海试试验优化样机性能。</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：突破我国海域</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类典型海洋哺乳动物叫声的高精度识别（信噪比</w:t>
      </w:r>
      <w:r>
        <w:rPr>
          <w:rFonts w:ascii="仿宋_GB2312" w:eastAsia="仿宋_GB2312" w:hAnsi="Times New Roman" w:cs="Times New Roman" w:hint="eastAsia"/>
          <w:sz w:val="32"/>
          <w:szCs w:val="32"/>
        </w:rPr>
        <w:t>5dB</w:t>
      </w:r>
      <w:r>
        <w:rPr>
          <w:rFonts w:ascii="仿宋_GB2312" w:eastAsia="仿宋_GB2312" w:hAnsi="Times New Roman" w:cs="Times New Roman" w:hint="eastAsia"/>
          <w:sz w:val="32"/>
          <w:szCs w:val="32"/>
        </w:rPr>
        <w:t>下准确率≥</w:t>
      </w:r>
      <w:r>
        <w:rPr>
          <w:rFonts w:ascii="仿宋_GB2312" w:eastAsia="仿宋_GB2312" w:hAnsi="Times New Roman" w:cs="Times New Roman" w:hint="eastAsia"/>
          <w:sz w:val="32"/>
          <w:szCs w:val="32"/>
        </w:rPr>
        <w:t>95%</w:t>
      </w:r>
      <w:r>
        <w:rPr>
          <w:rFonts w:ascii="仿宋_GB2312" w:eastAsia="仿宋_GB2312" w:hAnsi="Times New Roman" w:cs="Times New Roman" w:hint="eastAsia"/>
          <w:sz w:val="32"/>
          <w:szCs w:val="32"/>
        </w:rPr>
        <w:t>），高保真水声信号生成（与真实动物叫声相似度≥</w:t>
      </w:r>
      <w:r>
        <w:rPr>
          <w:rFonts w:ascii="仿宋_GB2312" w:eastAsia="仿宋_GB2312" w:hAnsi="Times New Roman" w:cs="Times New Roman" w:hint="eastAsia"/>
          <w:sz w:val="32"/>
          <w:szCs w:val="32"/>
        </w:rPr>
        <w:t>95%</w:t>
      </w:r>
      <w:r>
        <w:rPr>
          <w:rFonts w:ascii="仿宋_GB2312" w:eastAsia="仿宋_GB2312" w:hAnsi="Times New Roman" w:cs="Times New Roman" w:hint="eastAsia"/>
          <w:sz w:val="32"/>
          <w:szCs w:val="32"/>
        </w:rPr>
        <w:t>），远距离低误码解码（</w:t>
      </w:r>
      <w:r>
        <w:rPr>
          <w:rFonts w:ascii="仿宋_GB2312" w:eastAsia="仿宋_GB2312" w:hAnsi="Times New Roman" w:cs="Times New Roman" w:hint="eastAsia"/>
          <w:sz w:val="32"/>
          <w:szCs w:val="32"/>
        </w:rPr>
        <w:t>10km</w:t>
      </w:r>
      <w:r>
        <w:rPr>
          <w:rFonts w:ascii="仿宋_GB2312" w:eastAsia="仿宋_GB2312" w:hAnsi="Times New Roman" w:cs="Times New Roman" w:hint="eastAsia"/>
          <w:sz w:val="32"/>
          <w:szCs w:val="32"/>
        </w:rPr>
        <w:t>下通信速率≥</w:t>
      </w:r>
      <w:r>
        <w:rPr>
          <w:rFonts w:ascii="仿宋_GB2312" w:eastAsia="仿宋_GB2312" w:hAnsi="Times New Roman" w:cs="Times New Roman" w:hint="eastAsia"/>
          <w:sz w:val="32"/>
          <w:szCs w:val="32"/>
        </w:rPr>
        <w:t>60bps</w:t>
      </w:r>
      <w:r>
        <w:rPr>
          <w:rFonts w:ascii="仿宋_GB2312" w:eastAsia="仿宋_GB2312" w:hAnsi="Times New Roman" w:cs="Times New Roman" w:hint="eastAsia"/>
          <w:sz w:val="32"/>
          <w:szCs w:val="32"/>
        </w:rPr>
        <w:t>、误码率≤</w:t>
      </w:r>
      <w:r>
        <w:rPr>
          <w:rFonts w:ascii="仿宋_GB2312" w:eastAsia="仿宋_GB2312" w:hAnsi="Times New Roman" w:cs="Times New Roman" w:hint="eastAsia"/>
          <w:sz w:val="32"/>
          <w:szCs w:val="32"/>
        </w:rPr>
        <w:t>10-4</w:t>
      </w:r>
      <w:r>
        <w:rPr>
          <w:rFonts w:ascii="仿宋_GB2312" w:eastAsia="仿宋_GB2312" w:hAnsi="Times New Roman" w:cs="Times New Roman" w:hint="eastAsia"/>
          <w:sz w:val="32"/>
          <w:szCs w:val="32"/>
        </w:rPr>
        <w:t>），仿生信号在多声源干扰下的高效分离（均方误差≤</w:t>
      </w:r>
      <w:r>
        <w:rPr>
          <w:rFonts w:ascii="仿宋_GB2312" w:eastAsia="仿宋_GB2312" w:hAnsi="Times New Roman" w:cs="Times New Roman" w:hint="eastAsia"/>
          <w:sz w:val="32"/>
          <w:szCs w:val="32"/>
        </w:rPr>
        <w:t>10-2</w:t>
      </w:r>
      <w:r>
        <w:rPr>
          <w:rFonts w:ascii="仿宋_GB2312" w:eastAsia="仿宋_GB2312" w:hAnsi="Times New Roman" w:cs="Times New Roman" w:hint="eastAsia"/>
          <w:sz w:val="32"/>
          <w:szCs w:val="32"/>
        </w:rPr>
        <w:t>）等指标。发表高水平</w:t>
      </w:r>
      <w:r>
        <w:rPr>
          <w:rFonts w:ascii="仿宋_GB2312" w:eastAsia="仿宋_GB2312" w:hAnsi="Times New Roman" w:cs="Times New Roman" w:hint="eastAsia"/>
          <w:sz w:val="32"/>
          <w:szCs w:val="32"/>
        </w:rPr>
        <w:t>SCI</w:t>
      </w:r>
      <w:r>
        <w:rPr>
          <w:rFonts w:ascii="仿宋_GB2312" w:eastAsia="仿宋_GB2312" w:hAnsi="Times New Roman" w:cs="Times New Roman" w:hint="eastAsia"/>
          <w:sz w:val="32"/>
          <w:szCs w:val="32"/>
        </w:rPr>
        <w:t>论文不少于</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篇，授权发明专利不少于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项，培育省部级人才</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人次以上，培养研究生</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人次以上。</w:t>
      </w:r>
    </w:p>
    <w:p w:rsidR="00F40406" w:rsidRDefault="009622A8">
      <w:pPr>
        <w:widowControl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方向</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：北斗与低轨卫星融合增强的海洋高精度定位关键技术</w:t>
      </w:r>
    </w:p>
    <w:p w:rsidR="00F40406" w:rsidRDefault="009622A8">
      <w:pPr>
        <w:widowControl w:val="0"/>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研究内容</w:t>
      </w:r>
      <w:r>
        <w:rPr>
          <w:rFonts w:ascii="仿宋_GB2312" w:eastAsia="仿宋_GB2312" w:hAnsi="Times New Roman" w:cs="Times New Roman" w:hint="eastAsia"/>
          <w:sz w:val="32"/>
          <w:szCs w:val="32"/>
        </w:rPr>
        <w:t>：针对海洋增强信息生成难、播发难、稳健定位难的问题，开展北斗与低轨卫星融合</w:t>
      </w:r>
      <w:r>
        <w:rPr>
          <w:rFonts w:ascii="仿宋_GB2312" w:eastAsia="仿宋_GB2312" w:hAnsi="Times New Roman" w:cs="Times New Roman" w:hint="eastAsia"/>
          <w:sz w:val="32"/>
          <w:szCs w:val="32"/>
        </w:rPr>
        <w:t>增强的动态变分数据同化方法，建立顾及非各向同性的对流层延迟多模态分类估计模型；研究基于北斗短报文的压缩编码策略，创新北斗短报文与低轨卫星融合的海上异构网络通信与增强定位方法；发展基于风浪流联合预测与控制－运动耦合关系的北斗</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惯导定位定姿模型，实现海洋复杂环境下船舶的稳健定位，发展海洋大气高精度估计与预测技术，创新异构卫星增强定位方法，实现无人艇集群协同作业。</w:t>
      </w:r>
    </w:p>
    <w:p w:rsidR="00F40406" w:rsidRDefault="009622A8">
      <w:pPr>
        <w:widowControl w:val="0"/>
        <w:ind w:firstLineChars="200" w:firstLine="643"/>
      </w:pPr>
      <w:r>
        <w:rPr>
          <w:rFonts w:ascii="仿宋_GB2312" w:eastAsia="仿宋_GB2312" w:hAnsi="Times New Roman" w:cs="Times New Roman" w:hint="eastAsia"/>
          <w:b/>
          <w:bCs/>
          <w:sz w:val="32"/>
          <w:szCs w:val="32"/>
        </w:rPr>
        <w:t>考核指标</w:t>
      </w:r>
      <w:r>
        <w:rPr>
          <w:rFonts w:ascii="仿宋_GB2312" w:eastAsia="仿宋_GB2312" w:hAnsi="Times New Roman" w:cs="Times New Roman" w:hint="eastAsia"/>
          <w:sz w:val="32"/>
          <w:szCs w:val="32"/>
        </w:rPr>
        <w:t>：研发顾及非各向同性的对流层延迟多模态分类估计模型、北斗短报文与低轨卫星融合的海上异构网络通信与增强</w:t>
      </w:r>
      <w:r>
        <w:rPr>
          <w:rFonts w:ascii="仿宋_GB2312" w:eastAsia="仿宋_GB2312" w:hAnsi="Times New Roman" w:cs="Times New Roman" w:hint="eastAsia"/>
          <w:sz w:val="32"/>
          <w:szCs w:val="32"/>
        </w:rPr>
        <w:lastRenderedPageBreak/>
        <w:t>定位方法、基于风浪流联合预测与控制－运动耦</w:t>
      </w:r>
      <w:r>
        <w:rPr>
          <w:rFonts w:ascii="仿宋_GB2312" w:eastAsia="仿宋_GB2312" w:hAnsi="Times New Roman" w:cs="Times New Roman" w:hint="eastAsia"/>
          <w:sz w:val="32"/>
          <w:szCs w:val="32"/>
        </w:rPr>
        <w:t>合关系的北斗</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惯导定位定姿技术，形成无人艇集群协同导航定位系统。海洋对流层延迟估计精度优于</w:t>
      </w:r>
      <w:r>
        <w:rPr>
          <w:rFonts w:ascii="仿宋_GB2312" w:eastAsia="仿宋_GB2312" w:hAnsi="Times New Roman" w:cs="Times New Roman" w:hint="eastAsia"/>
          <w:sz w:val="32"/>
          <w:szCs w:val="32"/>
        </w:rPr>
        <w:t xml:space="preserve"> 5cm</w:t>
      </w:r>
      <w:r>
        <w:rPr>
          <w:rFonts w:ascii="仿宋_GB2312" w:eastAsia="仿宋_GB2312" w:hAnsi="Times New Roman" w:cs="Times New Roman" w:hint="eastAsia"/>
          <w:sz w:val="32"/>
          <w:szCs w:val="32"/>
        </w:rPr>
        <w:t>；海洋定位精度优于</w:t>
      </w:r>
      <w:r>
        <w:rPr>
          <w:rFonts w:ascii="仿宋_GB2312" w:eastAsia="仿宋_GB2312" w:hAnsi="Times New Roman" w:cs="Times New Roman" w:hint="eastAsia"/>
          <w:sz w:val="32"/>
          <w:szCs w:val="32"/>
        </w:rPr>
        <w:t xml:space="preserve"> 1dm</w:t>
      </w:r>
      <w:r>
        <w:rPr>
          <w:rFonts w:ascii="仿宋_GB2312" w:eastAsia="仿宋_GB2312" w:hAnsi="Times New Roman" w:cs="Times New Roman" w:hint="eastAsia"/>
          <w:sz w:val="32"/>
          <w:szCs w:val="32"/>
        </w:rPr>
        <w:t>；无人艇集群数量大于</w:t>
      </w:r>
      <w:r>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艘；取得服务效益不少于</w:t>
      </w:r>
      <w:r>
        <w:rPr>
          <w:rFonts w:ascii="仿宋_GB2312" w:eastAsia="仿宋_GB2312" w:hAnsi="Times New Roman" w:cs="Times New Roman" w:hint="eastAsia"/>
          <w:sz w:val="32"/>
          <w:szCs w:val="32"/>
        </w:rPr>
        <w:t>500</w:t>
      </w:r>
      <w:r>
        <w:rPr>
          <w:rFonts w:ascii="仿宋_GB2312" w:eastAsia="仿宋_GB2312" w:hAnsi="Times New Roman" w:cs="Times New Roman" w:hint="eastAsia"/>
          <w:sz w:val="32"/>
          <w:szCs w:val="32"/>
        </w:rPr>
        <w:t>万元；发表高水平</w:t>
      </w:r>
      <w:r>
        <w:rPr>
          <w:rFonts w:ascii="仿宋_GB2312" w:eastAsia="仿宋_GB2312" w:hAnsi="Times New Roman" w:cs="Times New Roman" w:hint="eastAsia"/>
          <w:sz w:val="32"/>
          <w:szCs w:val="32"/>
        </w:rPr>
        <w:t>SCI</w:t>
      </w:r>
      <w:r>
        <w:rPr>
          <w:rFonts w:ascii="仿宋_GB2312" w:eastAsia="仿宋_GB2312" w:hAnsi="Times New Roman" w:cs="Times New Roman" w:hint="eastAsia"/>
          <w:sz w:val="32"/>
          <w:szCs w:val="32"/>
        </w:rPr>
        <w:t>论文不少于</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篇；授权发明专利不少于</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项；培养研究生不少于</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名。</w:t>
      </w:r>
    </w:p>
    <w:p w:rsidR="00F40406" w:rsidRDefault="009622A8">
      <w:pPr>
        <w:widowControl w:val="0"/>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以上每个方向拟支持项目</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项，支持资金不超过</w:t>
      </w:r>
      <w:r>
        <w:rPr>
          <w:rFonts w:ascii="仿宋_GB2312" w:eastAsia="仿宋_GB2312" w:hAnsi="Times New Roman" w:cs="Times New Roman" w:hint="eastAsia"/>
          <w:sz w:val="32"/>
          <w:szCs w:val="32"/>
        </w:rPr>
        <w:t>100</w:t>
      </w:r>
      <w:r>
        <w:rPr>
          <w:rFonts w:ascii="仿宋_GB2312" w:eastAsia="仿宋_GB2312" w:hAnsi="Times New Roman" w:cs="Times New Roman" w:hint="eastAsia"/>
          <w:sz w:val="32"/>
          <w:szCs w:val="32"/>
        </w:rPr>
        <w:t>万元。</w:t>
      </w:r>
    </w:p>
    <w:p w:rsidR="00F40406" w:rsidRDefault="009622A8">
      <w:pPr>
        <w:widowControl w:val="0"/>
        <w:ind w:firstLineChars="200" w:firstLine="420"/>
        <w:rPr>
          <w:rFonts w:ascii="黑体" w:eastAsia="黑体" w:hAnsi="黑体"/>
          <w:sz w:val="32"/>
          <w:szCs w:val="32"/>
        </w:rPr>
      </w:pPr>
      <w:r>
        <w:br w:type="page"/>
      </w:r>
      <w:r>
        <w:rPr>
          <w:rFonts w:ascii="黑体" w:eastAsia="黑体" w:hAnsi="黑体" w:hint="eastAsia"/>
          <w:sz w:val="32"/>
          <w:szCs w:val="32"/>
        </w:rPr>
        <w:lastRenderedPageBreak/>
        <w:t>附件</w:t>
      </w:r>
      <w:r>
        <w:rPr>
          <w:rFonts w:ascii="黑体" w:eastAsia="黑体" w:hAnsi="黑体" w:hint="eastAsia"/>
          <w:sz w:val="32"/>
          <w:szCs w:val="32"/>
        </w:rPr>
        <w:t>2</w:t>
      </w:r>
    </w:p>
    <w:p w:rsidR="00F40406" w:rsidRDefault="00F40406">
      <w:pPr>
        <w:widowControl w:val="0"/>
        <w:jc w:val="center"/>
        <w:rPr>
          <w:rFonts w:ascii="方正小标宋_GBK" w:eastAsia="方正小标宋_GBK" w:hAnsi="方正小标宋_GBK" w:cs="方正小标宋_GBK"/>
          <w:sz w:val="44"/>
          <w:szCs w:val="44"/>
        </w:rPr>
      </w:pPr>
    </w:p>
    <w:p w:rsidR="00F40406" w:rsidRDefault="009622A8">
      <w:pPr>
        <w:widowControl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科技研发综合统计报表分类</w:t>
      </w:r>
    </w:p>
    <w:p w:rsidR="00F40406" w:rsidRDefault="00F40406">
      <w:pPr>
        <w:widowControl w:val="0"/>
        <w:shd w:val="clear" w:color="auto" w:fill="FFFFFF"/>
        <w:ind w:firstLineChars="200" w:firstLine="640"/>
        <w:rPr>
          <w:rFonts w:ascii="仿宋_GB2312" w:eastAsia="仿宋_GB2312" w:hAnsi="宋体" w:cs="仿宋_GB2312"/>
          <w:sz w:val="32"/>
          <w:szCs w:val="32"/>
        </w:rPr>
      </w:pPr>
    </w:p>
    <w:p w:rsidR="00F40406" w:rsidRDefault="009622A8">
      <w:pPr>
        <w:widowControl w:val="0"/>
        <w:shd w:val="clear" w:color="auto" w:fill="FFFFFF"/>
        <w:ind w:firstLineChars="200" w:firstLine="640"/>
        <w:rPr>
          <w:rFonts w:ascii="仿宋_GB2312" w:eastAsia="仿宋_GB2312" w:hAnsi="仿宋_GB2312" w:cs="仿宋_GB2312"/>
          <w:kern w:val="0"/>
          <w:sz w:val="32"/>
          <w:szCs w:val="32"/>
        </w:rPr>
      </w:pPr>
      <w:r>
        <w:rPr>
          <w:rFonts w:ascii="仿宋_GB2312" w:eastAsia="仿宋_GB2312" w:hAnsi="宋体" w:cs="仿宋_GB2312" w:hint="eastAsia"/>
          <w:sz w:val="32"/>
          <w:szCs w:val="32"/>
        </w:rPr>
        <w:t>科技研发综合统计报表须从</w:t>
      </w:r>
      <w:r>
        <w:rPr>
          <w:rFonts w:ascii="仿宋_GB2312" w:eastAsia="仿宋_GB2312" w:hAnsi="Times New Roman" w:cs="仿宋_GB2312" w:hint="eastAsia"/>
          <w:sz w:val="32"/>
          <w:szCs w:val="32"/>
        </w:rPr>
        <w:t>科技部、教育部或国家统计局等</w:t>
      </w:r>
      <w:r>
        <w:rPr>
          <w:rFonts w:ascii="仿宋_GB2312" w:eastAsia="仿宋_GB2312" w:hAnsi="宋体" w:cs="仿宋_GB2312" w:hint="eastAsia"/>
          <w:sz w:val="32"/>
          <w:szCs w:val="32"/>
        </w:rPr>
        <w:t>相应国家报表统计平台导出。</w:t>
      </w:r>
      <w:r>
        <w:rPr>
          <w:rFonts w:ascii="仿宋_GB2312" w:eastAsia="仿宋_GB2312" w:hAnsi="仿宋_GB2312" w:cs="仿宋_GB2312" w:hint="eastAsia"/>
          <w:kern w:val="0"/>
          <w:sz w:val="32"/>
          <w:szCs w:val="32"/>
        </w:rPr>
        <w:t>若涉及科技安全、保密等相关问题，应当严格执行国家有关法律法规和保密要求。</w:t>
      </w:r>
    </w:p>
    <w:p w:rsidR="00F40406" w:rsidRDefault="009622A8">
      <w:pPr>
        <w:widowControl w:val="0"/>
        <w:shd w:val="clear" w:color="auto" w:fill="FFFFFF"/>
        <w:ind w:firstLineChars="200" w:firstLine="640"/>
        <w:rPr>
          <w:rFonts w:ascii="仿宋_GB2312" w:eastAsia="仿宋_GB2312" w:hAnsi="仿宋_GB2312" w:cs="Times New Roman"/>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科学研究和技术服务业事业单位（其他非企业单位也适用）：</w:t>
      </w:r>
      <w:r>
        <w:rPr>
          <w:rFonts w:ascii="仿宋_GB2312" w:eastAsia="仿宋_GB2312" w:hAnsi="仿宋_GB2312" w:cs="仿宋_GB2312"/>
          <w:kern w:val="0"/>
          <w:sz w:val="32"/>
          <w:szCs w:val="32"/>
        </w:rPr>
        <w:t>JG1-08</w:t>
      </w:r>
      <w:r>
        <w:rPr>
          <w:rFonts w:ascii="仿宋_GB2312" w:eastAsia="仿宋_GB2312" w:hAnsi="仿宋_GB2312" w:cs="仿宋_GB2312" w:hint="eastAsia"/>
          <w:kern w:val="0"/>
          <w:sz w:val="32"/>
          <w:szCs w:val="32"/>
        </w:rPr>
        <w:t>表。</w:t>
      </w:r>
    </w:p>
    <w:p w:rsidR="00F40406" w:rsidRDefault="009622A8">
      <w:pPr>
        <w:widowControl w:val="0"/>
        <w:shd w:val="clear" w:color="auto" w:fill="FFFFFF"/>
        <w:ind w:firstLineChars="200" w:firstLine="640"/>
        <w:rPr>
          <w:rFonts w:ascii="仿宋_GB2312" w:eastAsia="仿宋_GB2312" w:hAnsi="仿宋_GB2312" w:cs="Times New Roman"/>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全日制普通高等学校及其直属附属医院：科技年报</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１表。</w:t>
      </w:r>
    </w:p>
    <w:p w:rsidR="00F40406" w:rsidRDefault="009622A8">
      <w:pPr>
        <w:widowControl w:val="0"/>
        <w:shd w:val="clear" w:color="auto" w:fill="FFFFFF"/>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工业、建筑业、服务业、科研育种相关企业及部分医疗事业单位中：</w:t>
      </w:r>
    </w:p>
    <w:p w:rsidR="00F40406" w:rsidRDefault="009622A8">
      <w:pPr>
        <w:widowControl w:val="0"/>
        <w:shd w:val="clear" w:color="auto" w:fill="FFFFFF"/>
        <w:ind w:firstLineChars="200" w:firstLine="640"/>
        <w:rPr>
          <w:rFonts w:ascii="仿宋_GB2312" w:eastAsia="仿宋_GB2312" w:hAnsi="仿宋_GB2312" w:cs="仿宋_GB2312"/>
          <w:kern w:val="0"/>
          <w:sz w:val="32"/>
          <w:szCs w:val="32"/>
        </w:rPr>
      </w:pPr>
      <w:r>
        <w:rPr>
          <w:rFonts w:ascii="仿宋_GB2312" w:eastAsia="仿宋_GB2312" w:hAnsi="宋体" w:cs="仿宋_GB2312" w:hint="eastAsia"/>
          <w:sz w:val="32"/>
          <w:szCs w:val="32"/>
        </w:rPr>
        <w:t>规上工业、服务业、建筑业企业、科研育种企业：</w:t>
      </w:r>
      <w:r>
        <w:rPr>
          <w:rFonts w:ascii="仿宋_GB2312" w:eastAsia="仿宋_GB2312" w:hAnsi="宋体" w:cs="仿宋_GB2312"/>
          <w:sz w:val="32"/>
          <w:szCs w:val="32"/>
        </w:rPr>
        <w:t>107-1</w:t>
      </w:r>
      <w:r>
        <w:rPr>
          <w:rFonts w:ascii="仿宋_GB2312" w:eastAsia="仿宋_GB2312" w:hAnsi="宋体" w:cs="仿宋_GB2312" w:hint="eastAsia"/>
          <w:sz w:val="32"/>
          <w:szCs w:val="32"/>
        </w:rPr>
        <w:t>表；</w:t>
      </w:r>
    </w:p>
    <w:p w:rsidR="00F40406" w:rsidRDefault="009622A8">
      <w:pPr>
        <w:widowControl w:val="0"/>
        <w:shd w:val="clear" w:color="auto" w:fill="FFFFFF"/>
        <w:ind w:firstLineChars="200" w:firstLine="640"/>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抽中的规模以下制造业，信息传输、软件和信息技术服务业，科学研究和技术服务业企业法人单位：</w:t>
      </w:r>
      <w:r>
        <w:rPr>
          <w:rFonts w:ascii="仿宋_GB2312" w:eastAsia="仿宋_GB2312" w:hAnsi="仿宋_GB2312" w:cs="仿宋_GB2312"/>
          <w:kern w:val="0"/>
          <w:sz w:val="32"/>
          <w:szCs w:val="32"/>
        </w:rPr>
        <w:t>117</w:t>
      </w:r>
      <w:r>
        <w:rPr>
          <w:rFonts w:ascii="仿宋_GB2312" w:eastAsia="仿宋_GB2312" w:hAnsi="仿宋_GB2312" w:cs="仿宋_GB2312" w:hint="eastAsia"/>
          <w:kern w:val="0"/>
          <w:sz w:val="32"/>
          <w:szCs w:val="32"/>
        </w:rPr>
        <w:t>表；</w:t>
      </w:r>
    </w:p>
    <w:p w:rsidR="00F40406" w:rsidRDefault="009622A8">
      <w:pPr>
        <w:widowControl w:val="0"/>
        <w:shd w:val="clear" w:color="auto" w:fill="FFFFFF"/>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未纳入教育和科技部门统计范围的三级甲等医院（事业单位）：</w:t>
      </w:r>
      <w:r>
        <w:rPr>
          <w:rFonts w:ascii="仿宋_GB2312" w:eastAsia="仿宋_GB2312" w:hAnsi="仿宋_GB2312" w:cs="仿宋_GB2312"/>
          <w:kern w:val="0"/>
          <w:sz w:val="32"/>
          <w:szCs w:val="32"/>
        </w:rPr>
        <w:t>107-4</w:t>
      </w:r>
      <w:r>
        <w:rPr>
          <w:rFonts w:ascii="仿宋_GB2312" w:eastAsia="仿宋_GB2312" w:hAnsi="仿宋_GB2312" w:cs="仿宋_GB2312" w:hint="eastAsia"/>
          <w:kern w:val="0"/>
          <w:sz w:val="32"/>
          <w:szCs w:val="32"/>
        </w:rPr>
        <w:t>表。</w:t>
      </w:r>
    </w:p>
    <w:p w:rsidR="00F40406" w:rsidRDefault="00F40406">
      <w:pPr>
        <w:pStyle w:val="a3"/>
      </w:pPr>
    </w:p>
    <w:p w:rsidR="00F40406" w:rsidRDefault="00F40406"/>
    <w:sectPr w:rsidR="00F40406">
      <w:headerReference w:type="default" r:id="rId11"/>
      <w:footerReference w:type="default" r:id="rId12"/>
      <w:pgSz w:w="11906" w:h="16838"/>
      <w:pgMar w:top="2098" w:right="1474" w:bottom="1984"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2A8" w:rsidRDefault="009622A8">
      <w:pPr>
        <w:spacing w:line="240" w:lineRule="auto"/>
      </w:pPr>
      <w:r>
        <w:separator/>
      </w:r>
    </w:p>
  </w:endnote>
  <w:endnote w:type="continuationSeparator" w:id="0">
    <w:p w:rsidR="009622A8" w:rsidRDefault="009622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B9284737-2334-48E7-9BD4-BC1A44BD896D}"/>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C471E11F-8627-48E1-B97F-3A9B560F8E22}"/>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auto"/>
    <w:pitch w:val="default"/>
    <w:sig w:usb0="00000001" w:usb1="080E0000" w:usb2="00000000" w:usb3="00000000" w:csb0="00040000" w:csb1="00000000"/>
    <w:embedRegular r:id="rId3" w:subsetted="1" w:fontKey="{7F90984F-E453-453A-B776-D1E8043C2F69}"/>
  </w:font>
  <w:font w:name="文星标宋">
    <w:altName w:val="Arial Unicode MS"/>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embedRegular r:id="rId4" w:subsetted="1" w:fontKey="{AEAACCC0-9C5E-4580-829B-943930D4D329}"/>
    <w:embedBold r:id="rId5" w:subsetted="1" w:fontKey="{F71BCC92-22D2-413E-AB30-06866BEB35E3}"/>
  </w:font>
  <w:font w:name="楷体_GB2312">
    <w:panose1 w:val="02010609030101010101"/>
    <w:charset w:val="86"/>
    <w:family w:val="modern"/>
    <w:pitch w:val="fixed"/>
    <w:sig w:usb0="00000001" w:usb1="080E0000" w:usb2="00000010" w:usb3="00000000" w:csb0="00040000" w:csb1="00000000"/>
    <w:embedRegular r:id="rId6" w:subsetted="1" w:fontKey="{55602782-B841-4A03-8D54-511834539A66}"/>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406" w:rsidRDefault="009622A8">
    <w:pPr>
      <w:pStyle w:val="a4"/>
      <w:jc w:val="center"/>
      <w:rPr>
        <w:rFonts w:ascii="楷体_GB2312" w:eastAsia="楷体_GB2312" w:hAnsi="宋体"/>
        <w:sz w:val="28"/>
        <w:szCs w:val="28"/>
      </w:rPr>
    </w:pPr>
    <w:r>
      <w:rPr>
        <w:noProof/>
        <w:sz w:val="28"/>
      </w:rPr>
      <mc:AlternateContent>
        <mc:Choice Requires="wps">
          <w:drawing>
            <wp:anchor distT="0" distB="0" distL="114300" distR="114300" simplePos="0" relativeHeight="2516515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9"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noFill/>
                      <a:ln>
                        <a:noFill/>
                      </a:ln>
                    </wps:spPr>
                    <wps:txbx>
                      <w:txbxContent>
                        <w:p w:rsidR="00F40406" w:rsidRDefault="009622A8">
                          <w:pPr>
                            <w:pStyle w:val="a4"/>
                            <w:jc w:val="center"/>
                            <w:rPr>
                              <w:rFonts w:ascii="楷体_GB2312" w:eastAsia="楷体_GB2312" w:hAnsi="宋体"/>
                              <w:sz w:val="28"/>
                              <w:szCs w:val="28"/>
                            </w:rPr>
                          </w:pPr>
                          <w:r>
                            <w:rPr>
                              <w:rFonts w:ascii="楷体_GB2312" w:eastAsia="楷体_GB2312" w:hAnsi="宋体" w:hint="eastAsia"/>
                              <w:sz w:val="28"/>
                              <w:szCs w:val="28"/>
                            </w:rPr>
                            <w:fldChar w:fldCharType="begin"/>
                          </w:r>
                          <w:r>
                            <w:rPr>
                              <w:rFonts w:ascii="楷体_GB2312" w:eastAsia="楷体_GB2312" w:hAnsi="宋体" w:hint="eastAsia"/>
                              <w:sz w:val="28"/>
                              <w:szCs w:val="28"/>
                            </w:rPr>
                            <w:instrText>PAGE   \* MERGEFORMAT</w:instrText>
                          </w:r>
                          <w:r>
                            <w:rPr>
                              <w:rFonts w:ascii="楷体_GB2312" w:eastAsia="楷体_GB2312" w:hAnsi="宋体" w:hint="eastAsia"/>
                              <w:sz w:val="28"/>
                              <w:szCs w:val="28"/>
                            </w:rPr>
                            <w:fldChar w:fldCharType="separate"/>
                          </w:r>
                          <w:r w:rsidR="00092451" w:rsidRPr="00092451">
                            <w:rPr>
                              <w:noProof/>
                            </w:rPr>
                            <w:t>- 5 -</w:t>
                          </w:r>
                          <w:r>
                            <w:rPr>
                              <w:rFonts w:ascii="楷体_GB2312" w:eastAsia="楷体_GB2312" w:hAnsi="宋体" w:hint="eastAsia"/>
                              <w:sz w:val="28"/>
                              <w:szCs w:val="28"/>
                            </w:rPr>
                            <w:fldChar w:fldCharType="end"/>
                          </w:r>
                        </w:p>
                        <w:p w:rsidR="00F40406" w:rsidRDefault="00F40406">
                          <w:pPr>
                            <w:pStyle w:val="a6"/>
                          </w:pPr>
                        </w:p>
                      </w:txbxContent>
                    </wps:txbx>
                    <wps:bodyPr rot="0" spcFirstLastPara="0" vertOverflow="overflow" horzOverflow="overflow" vert="horz" wrap="none" lIns="0" tIns="0" rIns="0" bIns="0" numCol="1" anchor="t" upright="1">
                      <a:spAutoFit/>
                    </wps:bodyPr>
                  </wps:wsp>
                </a:graphicData>
              </a:graphic>
            </wp:anchor>
          </w:drawing>
        </mc:Choice>
        <mc:Fallback>
          <w:pict>
            <v:rect id="矩形 1" o:spid="_x0000_s1026" style="position:absolute;left:0;text-align:left;margin-left:92.8pt;margin-top:0;width:2in;height:2in;z-index:2516515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" filled="f" stroked="f">
              <v:path arrowok="t"/>
              <v:textbox style="mso-fit-shape-to-text:t" inset="0,0,0,0">
                <w:txbxContent>
                  <w:p w:rsidR="00F40406" w:rsidRDefault="009622A8">
                    <w:pPr>
                      <w:pStyle w:val="a4"/>
                      <w:jc w:val="center"/>
                      <w:rPr>
                        <w:rFonts w:ascii="楷体_GB2312" w:eastAsia="楷体_GB2312" w:hAnsi="宋体"/>
                        <w:sz w:val="28"/>
                        <w:szCs w:val="28"/>
                      </w:rPr>
                    </w:pPr>
                    <w:r>
                      <w:rPr>
                        <w:rFonts w:ascii="楷体_GB2312" w:eastAsia="楷体_GB2312" w:hAnsi="宋体" w:hint="eastAsia"/>
                        <w:sz w:val="28"/>
                        <w:szCs w:val="28"/>
                      </w:rPr>
                      <w:fldChar w:fldCharType="begin"/>
                    </w:r>
                    <w:r>
                      <w:rPr>
                        <w:rFonts w:ascii="楷体_GB2312" w:eastAsia="楷体_GB2312" w:hAnsi="宋体" w:hint="eastAsia"/>
                        <w:sz w:val="28"/>
                        <w:szCs w:val="28"/>
                      </w:rPr>
                      <w:instrText>PAGE   \* MERGEFORMAT</w:instrText>
                    </w:r>
                    <w:r>
                      <w:rPr>
                        <w:rFonts w:ascii="楷体_GB2312" w:eastAsia="楷体_GB2312" w:hAnsi="宋体" w:hint="eastAsia"/>
                        <w:sz w:val="28"/>
                        <w:szCs w:val="28"/>
                      </w:rPr>
                      <w:fldChar w:fldCharType="separate"/>
                    </w:r>
                    <w:r w:rsidR="00092451" w:rsidRPr="00092451">
                      <w:rPr>
                        <w:noProof/>
                      </w:rPr>
                      <w:t>- 5 -</w:t>
                    </w:r>
                    <w:r>
                      <w:rPr>
                        <w:rFonts w:ascii="楷体_GB2312" w:eastAsia="楷体_GB2312" w:hAnsi="宋体" w:hint="eastAsia"/>
                        <w:sz w:val="28"/>
                        <w:szCs w:val="28"/>
                      </w:rPr>
                      <w:fldChar w:fldCharType="end"/>
                    </w:r>
                  </w:p>
                  <w:p w:rsidR="00F40406" w:rsidRDefault="00F40406">
                    <w:pPr>
                      <w:pStyle w:val="a6"/>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2A8" w:rsidRDefault="009622A8">
      <w:pPr>
        <w:spacing w:line="240" w:lineRule="auto"/>
      </w:pPr>
      <w:r>
        <w:separator/>
      </w:r>
    </w:p>
  </w:footnote>
  <w:footnote w:type="continuationSeparator" w:id="0">
    <w:p w:rsidR="009622A8" w:rsidRDefault="009622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406" w:rsidRDefault="009622A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20pt;margin-top:50pt;width:60pt;height:20pt;rotation:315;z-index:251652608" fillcolor="gray" strokecolor="silver" strokeweight="1pt">
          <v:textpath style="font-family:&quot;宋体&quot;" string="中国石油大学(华东)&#10;2025年11月07日"/>
        </v:shape>
      </w:pict>
    </w:r>
    <w:r>
      <w:pict>
        <v:shape id="_x0000_s2059" type="#_x0000_t136" style="position:absolute;left:0;text-align:left;margin-left:180pt;margin-top:50pt;width:60pt;height:20pt;rotation:315;z-index:251653632" fillcolor="gray" strokecolor="silver" strokeweight="1pt">
          <v:textpath style="font-family:&quot;宋体&quot;" string="中国石油大学(华东)&#10;2025年11月07日"/>
        </v:shape>
      </w:pict>
    </w:r>
    <w:r>
      <w:pict>
        <v:shape id="_x0000_s2058" type="#_x0000_t136" style="position:absolute;left:0;text-align:left;margin-left:340pt;margin-top:50pt;width:60pt;height:20pt;rotation:315;z-index:251654656" fillcolor="gray" strokecolor="silver" strokeweight="1pt">
          <v:textpath style="font-family:&quot;宋体&quot;" string="中国石油大学(华东)&#10;2025年11月07日"/>
        </v:shape>
      </w:pict>
    </w:r>
    <w:r>
      <w:pict>
        <v:shape id="_x0000_s2057" type="#_x0000_t136" style="position:absolute;left:0;text-align:left;margin-left:20pt;margin-top:200pt;width:60pt;height:20pt;rotation:315;z-index:251655680" fillcolor="gray" strokecolor="silver" strokeweight="1pt">
          <v:textpath style="font-family:&quot;宋体&quot;" string="中国石油大学(华东)&#10;2025年11月07日"/>
        </v:shape>
      </w:pict>
    </w:r>
    <w:r>
      <w:pict>
        <v:shape id="_x0000_s2056" type="#_x0000_t136" style="position:absolute;left:0;text-align:left;margin-left:180pt;margin-top:200pt;width:60pt;height:20pt;rotation:315;z-index:251656704" fillcolor="gray" strokecolor="silver" strokeweight="1pt">
          <v:textpath style="font-family:&quot;宋体&quot;" string="中国石油大学(华东)&#10;2025年11月07日"/>
        </v:shape>
      </w:pict>
    </w:r>
    <w:r>
      <w:pict>
        <v:shape id="_x0000_s2055" type="#_x0000_t136" style="position:absolute;left:0;text-align:left;margin-left:340pt;margin-top:200pt;width:60pt;height:20pt;rotation:315;z-index:251657728" fillcolor="gray" strokecolor="silver" strokeweight="1pt">
          <v:textpath style="font-family:&quot;宋体&quot;" string="中国石油大学(华东)&#10;2025年11月07日"/>
        </v:shape>
      </w:pict>
    </w:r>
    <w:r>
      <w:pict>
        <v:shape id="_x0000_s2054" type="#_x0000_t136" style="position:absolute;left:0;text-align:left;margin-left:20pt;margin-top:350pt;width:60pt;height:20pt;rotation:315;z-index:251658752" fillcolor="gray" strokecolor="silver" strokeweight="1pt">
          <v:textpath style="font-family:&quot;宋体&quot;" string="中国石油大学(华东)&#10;2025年11月07日"/>
        </v:shape>
      </w:pict>
    </w:r>
    <w:r>
      <w:pict>
        <v:shape id="_x0000_s2053" type="#_x0000_t136" style="position:absolute;left:0;text-align:left;margin-left:180pt;margin-top:350pt;width:60pt;height:20pt;rotation:315;z-index:251659776" fillcolor="gray" strokecolor="silver" strokeweight="1pt">
          <v:textpath style="font-family:&quot;宋体&quot;" string="中国石油大学(华东)&#10;2025年11月07日"/>
        </v:shape>
      </w:pict>
    </w:r>
    <w:r>
      <w:pict>
        <v:shape id="_x0000_s2052" type="#_x0000_t136" style="position:absolute;left:0;text-align:left;margin-left:340pt;margin-top:350pt;width:60pt;height:20pt;rotation:315;z-index:251660800" fillcolor="gray" strokecolor="silver" strokeweight="1pt">
          <v:textpath style="font-family:&quot;宋体&quot;" string="中国石油大学(华东)&#10;2025年11月07日"/>
        </v:shape>
      </w:pict>
    </w:r>
    <w:r>
      <w:pict>
        <v:shape id="_x0000_s2051" type="#_x0000_t136" style="position:absolute;left:0;text-align:left;margin-left:20pt;margin-top:500pt;width:60pt;height:20pt;rotation:315;z-index:251661824" fillcolor="gray" strokecolor="silver" strokeweight="1pt">
          <v:textpath style="font-family:&quot;宋体&quot;" string="中国石油大学(华东)&#10;2025年11月07日"/>
        </v:shape>
      </w:pict>
    </w:r>
    <w:r>
      <w:pict>
        <v:shape id="_x0000_s2050" type="#_x0000_t136" style="position:absolute;left:0;text-align:left;margin-left:180pt;margin-top:500pt;width:60pt;height:20pt;rotation:315;z-index:251662848" fillcolor="gray" strokecolor="silver" strokeweight="1pt">
          <v:textpath style="font-family:&quot;宋体&quot;" string="中国石油大学(华东)&#10;2025年11月07日"/>
        </v:shape>
      </w:pict>
    </w:r>
    <w:r>
      <w:pict>
        <v:shape id="_x0000_s2049" type="#_x0000_t136" style="position:absolute;left:0;text-align:left;margin-left:340pt;margin-top:500pt;width:60pt;height:20pt;rotation:315;z-index:251663872" fillcolor="gray" strokecolor="silver" strokeweight="1pt">
          <v:textpath style="font-family:&quot;宋体&quot;" string="中国石油大学(华东)&#10;2025年11月07日"/>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559A1"/>
    <w:multiLevelType w:val="multilevel"/>
    <w:tmpl w:val="876CA2E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15:restartNumberingAfterBreak="0">
    <w:nsid w:val="72CC5E16"/>
    <w:multiLevelType w:val="multilevel"/>
    <w:tmpl w:val="67EC228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oNotTrackMoves/>
  <w:defaultTabStop w:val="420"/>
  <w:drawingGridVerticalSpacing w:val="156"/>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406"/>
    <w:rsid w:val="00092451"/>
    <w:rsid w:val="009622A8"/>
    <w:rsid w:val="00F404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AF1BDA04-219B-4391-9D26-E008C416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uiPriority="99" w:qFormat="1"/>
    <w:lsdException w:name="Default Paragraph Font" w:semiHidden="1" w:uiPriority="1" w:unhideWhenUsed="1" w:qFormat="1"/>
    <w:lsdException w:name="Body Text" w:uiPriority="99" w:unhideWhenUsed="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footer"/>
    <w:basedOn w:val="a"/>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a6">
    <w:name w:val="Title"/>
    <w:basedOn w:val="a"/>
    <w:next w:val="a"/>
    <w:uiPriority w:val="99"/>
    <w:qFormat/>
    <w:pPr>
      <w:spacing w:before="240" w:after="60"/>
      <w:jc w:val="center"/>
      <w:outlineLvl w:val="0"/>
    </w:pPr>
    <w:rPr>
      <w:rFonts w:ascii="Arial" w:hAnsi="Arial" w:cs="Arial"/>
      <w:b/>
      <w:bCs/>
    </w:rPr>
  </w:style>
  <w:style w:type="character" w:customStyle="1" w:styleId="Char">
    <w:name w:val="页眉 Char"/>
    <w:basedOn w:val="a0"/>
    <w:qFormat/>
    <w:rPr>
      <w:rFonts w:ascii="Calibri" w:eastAsia="宋体" w:hAnsi="Calibri" w:cs="黑体"/>
      <w:kern w:val="2"/>
      <w:sz w:val="18"/>
      <w:szCs w:val="18"/>
    </w:rPr>
  </w:style>
  <w:style w:type="table" w:styleId="a7">
    <w:name w:val="Table Grid"/>
    <w:basedOn w:val="a1"/>
    <w:tblPr>
      <w:tblBorders>
        <w:top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C3577DD11D174403AE739DFC695E980D_13</vt:lpwstr>
  </property>
  <property fmtid="{D5CDD505-2E9C-101B-9397-08002B2CF9AE}" pid="4" name="KSOTemplateDocerSaveRecord">
    <vt:lpwstr>eyJoZGlkIjoiOTY0ZjgxYTViMTI3YTVkMTk2YjQyNTA1MGM0Y2M2YTUiLCJ1c2VySWQiOiI1NjUxNTE2NjEifQ==</vt:lpwstr>
  </property>
</Properties>
</file>

<file path=customXml/item3.xml><?xml version="1.0" encoding="utf-8"?>
<Properties xmlns="http://schemas.openxmlformats.org/officeDocument/2006/extended-properties" xmlns:vt="http://schemas.openxmlformats.org/officeDocument/2006/docPropsVTypes">
  <Template>Normal</Template>
  <Company>mycomputer</Company>
  <Pages>1</Pages>
  <Words>717</Words>
  <Characters>746</Characters>
  <Lines>245</Lines>
  <Paragraphs>93</Paragraphs>
  <TotalTime>672</TotalTime>
  <ScaleCrop>false</ScaleCrop>
  <LinksUpToDate>false</LinksUpToDate>
  <CharactersWithSpaces>768</CharactersWithSpaces>
  <Application>WPS Office_12.1.0.23125_F1E327BC-269C-435d-A152-05C5408002CA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2025-10-30T07:35:00Z</dcterms:created>
  <dc:creator>冯仁旭</dc:creator>
  <cp:lastModifiedBy></cp:lastModifiedBy>
  <dcterms:modified xsi:type="dcterms:W3CDTF">2025-11-06T10:32:48Z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E2D6F7-0CC4-4FF9-AA0A-66F1D23155DF}">
  <ds:schemaRefs>
    <ds:schemaRef ds:uri="http://schemas.openxmlformats.org/officeDocument/2006/custom-properties"/>
    <ds:schemaRef ds:uri="http://schemas.openxmlformats.org/officeDocument/2006/docPropsVTypes"/>
  </ds:schemaRefs>
</ds:datastoreItem>
</file>

<file path=customXml/itemProps3.xml><?xml version="1.0" encoding="utf-8"?>
<ds:datastoreItem xmlns:ds="http://schemas.openxmlformats.org/officeDocument/2006/customXml" ds:itemID="{289F9C43-73DC-4072-A9B7-A30E29298CE5}">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E4EFAE00-2277-48D1-86C0-67332A92E188}">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22</Pages>
  <Words>1708</Words>
  <Characters>9741</Characters>
  <Application>Microsoft Office Word</Application>
  <DocSecurity>0</DocSecurity>
  <Lines>81</Lines>
  <Paragraphs>22</Paragraphs>
  <ScaleCrop>false</ScaleCrop>
  <Company>mycomputer</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冯仁旭</dc:creator>
  <cp:lastModifiedBy>dell</cp:lastModifiedBy>
  <cp:revision>4</cp:revision>
  <dcterms:created xsi:type="dcterms:W3CDTF">2025-10-30T07:35:00Z</dcterms:created>
  <dcterms:modified xsi:type="dcterms:W3CDTF">2025-11-07T06:49:00Z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C3577DD11D174403AE739DFC695E980D_13</vt:lpwstr>
  </property>
  <property fmtid="{D5CDD505-2E9C-101B-9397-08002B2CF9AE}" pid="4" name="KSOTemplateDocerSaveRecord">
    <vt:lpwstr>eyJoZGlkIjoiOTY0ZjgxYTViMTI3YTVkMTk2YjQyNTA1MGM0Y2M2YTUiLCJ1c2VySWQiOiI1NjUxNTE2NjEifQ==</vt:lpwstr>
  </property>
</Properties>
</file>